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750" w:rsidRPr="00337750" w:rsidRDefault="00337750" w:rsidP="00337750">
      <w:pPr>
        <w:jc w:val="center"/>
        <w:rPr>
          <w:sz w:val="36"/>
          <w:szCs w:val="36"/>
        </w:rPr>
      </w:pPr>
      <w:r w:rsidRPr="00337750">
        <w:rPr>
          <w:sz w:val="36"/>
          <w:szCs w:val="36"/>
        </w:rPr>
        <w:t xml:space="preserve">Action Plan: </w:t>
      </w:r>
      <w:r w:rsidRPr="00337750">
        <w:rPr>
          <w:b/>
          <w:i/>
          <w:sz w:val="36"/>
          <w:szCs w:val="36"/>
        </w:rPr>
        <w:t>Bridging the Gap in SET</w:t>
      </w:r>
    </w:p>
    <w:p w:rsidR="00337750" w:rsidRDefault="00337750" w:rsidP="00337750">
      <w:r>
        <w:t>The Action plan, ‘Bridging the Gap in SET’, identifies 4 areas for action arising from the priorities indicated by the data. In each area, a small number of principal actions are identified, and these are linked to the SWAN Charter principles. These key actions are subdivided into a range of targeted and timetabled specific actions with a success measure identified linking back to the principal action/s. The majority of actions are cross-SET, as at this point all 11 SET schools have designed and are implementing school-specific action plans. Some actions have cross-University application. The 4 areas for action in SET are as follows:</w:t>
      </w:r>
    </w:p>
    <w:p w:rsidR="00337750" w:rsidRDefault="00337750" w:rsidP="00337750">
      <w:pPr>
        <w:pStyle w:val="ListParagraph"/>
        <w:numPr>
          <w:ilvl w:val="0"/>
          <w:numId w:val="1"/>
        </w:numPr>
        <w:spacing w:line="276" w:lineRule="auto"/>
      </w:pPr>
      <w:r>
        <w:t xml:space="preserve">Increase the number of female undergraduates and postgraduates </w:t>
      </w:r>
    </w:p>
    <w:p w:rsidR="00337750" w:rsidRDefault="00337750" w:rsidP="00337750">
      <w:pPr>
        <w:pStyle w:val="ListParagraph"/>
        <w:numPr>
          <w:ilvl w:val="0"/>
          <w:numId w:val="1"/>
        </w:numPr>
        <w:spacing w:line="276" w:lineRule="auto"/>
      </w:pPr>
      <w:r>
        <w:t xml:space="preserve">Increase the number of women taking up post-doctoral posts </w:t>
      </w:r>
    </w:p>
    <w:p w:rsidR="00337750" w:rsidRDefault="00337750" w:rsidP="00337750">
      <w:pPr>
        <w:pStyle w:val="ListParagraph"/>
        <w:numPr>
          <w:ilvl w:val="0"/>
          <w:numId w:val="1"/>
        </w:numPr>
        <w:spacing w:line="276" w:lineRule="auto"/>
      </w:pPr>
      <w:r>
        <w:t>Increase the number of SET women in senior academic positions</w:t>
      </w:r>
    </w:p>
    <w:p w:rsidR="00337750" w:rsidRDefault="00337750" w:rsidP="00337750">
      <w:pPr>
        <w:pStyle w:val="ListParagraph"/>
        <w:numPr>
          <w:ilvl w:val="0"/>
          <w:numId w:val="1"/>
        </w:numPr>
        <w:spacing w:line="276" w:lineRule="auto"/>
      </w:pPr>
      <w:r>
        <w:t>Develop the organisational culture in ways that facilitate female recruitment and progression</w:t>
      </w:r>
    </w:p>
    <w:p w:rsidR="00337750" w:rsidRDefault="00337750" w:rsidP="00337750">
      <w:pPr>
        <w:pStyle w:val="Heading2"/>
        <w:rPr>
          <w:b/>
          <w:sz w:val="24"/>
          <w:szCs w:val="24"/>
        </w:rPr>
      </w:pPr>
      <w:r>
        <w:rPr>
          <w:b/>
          <w:sz w:val="24"/>
          <w:szCs w:val="24"/>
        </w:rPr>
        <w:t>1.</w:t>
      </w:r>
      <w:r>
        <w:rPr>
          <w:b/>
          <w:sz w:val="24"/>
          <w:szCs w:val="24"/>
        </w:rPr>
        <w:tab/>
        <w:t xml:space="preserve">Increase the number of female undergraduates and postgraduates </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6"/>
        <w:gridCol w:w="4254"/>
        <w:gridCol w:w="4255"/>
        <w:gridCol w:w="1985"/>
        <w:gridCol w:w="1985"/>
      </w:tblGrid>
      <w:tr w:rsidR="00337750" w:rsidTr="00337750">
        <w:tc>
          <w:tcPr>
            <w:tcW w:w="2235" w:type="dxa"/>
            <w:tcBorders>
              <w:top w:val="single" w:sz="4" w:space="0" w:color="auto"/>
              <w:left w:val="single" w:sz="4" w:space="0" w:color="auto"/>
              <w:bottom w:val="single" w:sz="4" w:space="0" w:color="auto"/>
              <w:right w:val="single" w:sz="4" w:space="0" w:color="auto"/>
            </w:tcBorders>
            <w:hideMark/>
          </w:tcPr>
          <w:p w:rsidR="00337750" w:rsidRDefault="00337750">
            <w:pPr>
              <w:jc w:val="center"/>
              <w:rPr>
                <w:b/>
              </w:rPr>
            </w:pPr>
            <w:r>
              <w:rPr>
                <w:b/>
              </w:rPr>
              <w:t>Principal action</w:t>
            </w:r>
          </w:p>
        </w:tc>
        <w:tc>
          <w:tcPr>
            <w:tcW w:w="4252" w:type="dxa"/>
            <w:tcBorders>
              <w:top w:val="single" w:sz="4" w:space="0" w:color="auto"/>
              <w:left w:val="single" w:sz="4" w:space="0" w:color="auto"/>
              <w:bottom w:val="single" w:sz="4" w:space="0" w:color="auto"/>
              <w:right w:val="single" w:sz="4" w:space="0" w:color="auto"/>
            </w:tcBorders>
            <w:hideMark/>
          </w:tcPr>
          <w:p w:rsidR="00337750" w:rsidRDefault="00337750">
            <w:pPr>
              <w:jc w:val="center"/>
              <w:rPr>
                <w:b/>
              </w:rPr>
            </w:pPr>
            <w:r>
              <w:rPr>
                <w:b/>
              </w:rPr>
              <w:t>Action already taken since last submission 2010</w:t>
            </w:r>
          </w:p>
        </w:tc>
        <w:tc>
          <w:tcPr>
            <w:tcW w:w="4253" w:type="dxa"/>
            <w:tcBorders>
              <w:top w:val="single" w:sz="4" w:space="0" w:color="auto"/>
              <w:left w:val="single" w:sz="4" w:space="0" w:color="auto"/>
              <w:bottom w:val="single" w:sz="4" w:space="0" w:color="auto"/>
              <w:right w:val="single" w:sz="4" w:space="0" w:color="auto"/>
            </w:tcBorders>
            <w:hideMark/>
          </w:tcPr>
          <w:p w:rsidR="00337750" w:rsidRDefault="00337750">
            <w:pPr>
              <w:jc w:val="center"/>
              <w:rPr>
                <w:b/>
              </w:rPr>
            </w:pPr>
            <w:r>
              <w:rPr>
                <w:b/>
              </w:rPr>
              <w:t xml:space="preserve">Actions planned from </w:t>
            </w:r>
            <w:r>
              <w:rPr>
                <w:b/>
              </w:rPr>
              <w:br/>
              <w:t>October 2011</w:t>
            </w:r>
          </w:p>
        </w:tc>
        <w:tc>
          <w:tcPr>
            <w:tcW w:w="1984" w:type="dxa"/>
            <w:tcBorders>
              <w:top w:val="single" w:sz="4" w:space="0" w:color="auto"/>
              <w:left w:val="single" w:sz="4" w:space="0" w:color="auto"/>
              <w:bottom w:val="single" w:sz="4" w:space="0" w:color="auto"/>
              <w:right w:val="single" w:sz="4" w:space="0" w:color="auto"/>
            </w:tcBorders>
            <w:hideMark/>
          </w:tcPr>
          <w:p w:rsidR="00337750" w:rsidRDefault="00337750">
            <w:pPr>
              <w:jc w:val="center"/>
              <w:rPr>
                <w:b/>
              </w:rPr>
            </w:pPr>
            <w:r>
              <w:rPr>
                <w:b/>
              </w:rPr>
              <w:t>Measure of Success</w:t>
            </w:r>
          </w:p>
        </w:tc>
        <w:tc>
          <w:tcPr>
            <w:tcW w:w="1984" w:type="dxa"/>
            <w:tcBorders>
              <w:top w:val="single" w:sz="4" w:space="0" w:color="auto"/>
              <w:left w:val="single" w:sz="4" w:space="0" w:color="auto"/>
              <w:bottom w:val="single" w:sz="4" w:space="0" w:color="auto"/>
              <w:right w:val="single" w:sz="4" w:space="0" w:color="auto"/>
            </w:tcBorders>
            <w:hideMark/>
          </w:tcPr>
          <w:p w:rsidR="00337750" w:rsidRDefault="00337750">
            <w:pPr>
              <w:jc w:val="center"/>
              <w:rPr>
                <w:b/>
              </w:rPr>
            </w:pPr>
            <w:r>
              <w:rPr>
                <w:b/>
              </w:rPr>
              <w:t>Responsibility</w:t>
            </w:r>
          </w:p>
        </w:tc>
      </w:tr>
      <w:tr w:rsidR="00337750" w:rsidTr="00337750">
        <w:trPr>
          <w:trHeight w:val="3392"/>
        </w:trPr>
        <w:tc>
          <w:tcPr>
            <w:tcW w:w="2235" w:type="dxa"/>
            <w:vMerge w:val="restart"/>
            <w:tcBorders>
              <w:top w:val="single" w:sz="4" w:space="0" w:color="auto"/>
              <w:left w:val="single" w:sz="4" w:space="0" w:color="auto"/>
              <w:bottom w:val="single" w:sz="4" w:space="0" w:color="auto"/>
              <w:right w:val="single" w:sz="4" w:space="0" w:color="auto"/>
            </w:tcBorders>
          </w:tcPr>
          <w:p w:rsidR="00337750" w:rsidRDefault="00337750">
            <w:pPr>
              <w:rPr>
                <w:i/>
              </w:rPr>
            </w:pPr>
            <w:r>
              <w:rPr>
                <w:i/>
              </w:rPr>
              <w:t>SWAN Principles</w:t>
            </w:r>
            <w:r>
              <w:rPr>
                <w:i/>
              </w:rPr>
              <w:br/>
              <w:t xml:space="preserve"> 1, 2, 4</w:t>
            </w:r>
          </w:p>
          <w:p w:rsidR="00337750" w:rsidRDefault="00337750">
            <w:r>
              <w:t>Put in place strategies to ensure maximum publicity for SET courses under-subscribed by females, highlighting associated gender-sensitive policies: monitor outcomes.</w:t>
            </w:r>
          </w:p>
          <w:p w:rsidR="00337750" w:rsidRDefault="00337750"/>
          <w:p w:rsidR="00337750" w:rsidRDefault="00337750">
            <w:pPr>
              <w:spacing w:after="0"/>
              <w:rPr>
                <w:rFonts w:cs="Arial"/>
                <w:color w:val="FF0000"/>
              </w:rPr>
            </w:pPr>
          </w:p>
        </w:tc>
        <w:tc>
          <w:tcPr>
            <w:tcW w:w="4252" w:type="dxa"/>
            <w:tcBorders>
              <w:top w:val="single" w:sz="4" w:space="0" w:color="auto"/>
              <w:left w:val="single" w:sz="4" w:space="0" w:color="auto"/>
              <w:bottom w:val="single" w:sz="4" w:space="0" w:color="auto"/>
              <w:right w:val="single" w:sz="4" w:space="0" w:color="auto"/>
            </w:tcBorders>
          </w:tcPr>
          <w:p w:rsidR="00337750" w:rsidRDefault="00337750">
            <w:r>
              <w:lastRenderedPageBreak/>
              <w:t>Schools identified where there is a noticeable gender difference at undergraduate level: Chemistry &amp; Chemical Engineering, Maths &amp; Physics, Electronics, Electrical Engineering &amp; Computer Science, Planning, Architecture and Civil Engineering and Mechanical &amp; Aerospace Engineering</w:t>
            </w:r>
          </w:p>
          <w:p w:rsidR="00337750" w:rsidRDefault="00337750"/>
        </w:tc>
        <w:tc>
          <w:tcPr>
            <w:tcW w:w="4253" w:type="dxa"/>
            <w:tcBorders>
              <w:top w:val="single" w:sz="4" w:space="0" w:color="auto"/>
              <w:left w:val="single" w:sz="4" w:space="0" w:color="auto"/>
              <w:bottom w:val="single" w:sz="4" w:space="0" w:color="auto"/>
              <w:right w:val="single" w:sz="4" w:space="0" w:color="auto"/>
            </w:tcBorders>
            <w:hideMark/>
          </w:tcPr>
          <w:p w:rsidR="00337750" w:rsidRDefault="00337750">
            <w:r>
              <w:t xml:space="preserve">2011-2014: Monitor success of SET school SWAN initiatives to encourage women onto foundation courses and progress to undergraduate programmes. Discuss outcomes with relevant Champions and Head of School. </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37750" w:rsidRDefault="00337750">
            <w:r>
              <w:t>An increase in the number of female undergraduates and postgraduates in schools where female undergraduates and postgraduates are less than 50%</w:t>
            </w:r>
          </w:p>
        </w:tc>
        <w:tc>
          <w:tcPr>
            <w:tcW w:w="1984" w:type="dxa"/>
            <w:tcBorders>
              <w:top w:val="single" w:sz="4" w:space="0" w:color="auto"/>
              <w:left w:val="single" w:sz="4" w:space="0" w:color="auto"/>
              <w:bottom w:val="single" w:sz="4" w:space="0" w:color="auto"/>
              <w:right w:val="single" w:sz="4" w:space="0" w:color="auto"/>
            </w:tcBorders>
            <w:hideMark/>
          </w:tcPr>
          <w:p w:rsidR="00337750" w:rsidRDefault="00337750">
            <w:r>
              <w:t>HoS, SWAN champions, SET Deans, QGI</w:t>
            </w:r>
          </w:p>
        </w:tc>
      </w:tr>
      <w:tr w:rsidR="00337750" w:rsidTr="00337750">
        <w:tc>
          <w:tcPr>
            <w:tcW w:w="2235" w:type="dxa"/>
            <w:vMerge/>
            <w:tcBorders>
              <w:top w:val="single" w:sz="4" w:space="0" w:color="auto"/>
              <w:left w:val="single" w:sz="4" w:space="0" w:color="auto"/>
              <w:bottom w:val="single" w:sz="4" w:space="0" w:color="auto"/>
              <w:right w:val="single" w:sz="4" w:space="0" w:color="auto"/>
            </w:tcBorders>
            <w:vAlign w:val="center"/>
            <w:hideMark/>
          </w:tcPr>
          <w:p w:rsidR="00337750" w:rsidRDefault="00337750">
            <w:pPr>
              <w:spacing w:before="0" w:after="0" w:line="240" w:lineRule="auto"/>
              <w:rPr>
                <w:rFonts w:cs="Arial"/>
                <w:color w:val="FF0000"/>
              </w:rPr>
            </w:pPr>
          </w:p>
        </w:tc>
        <w:tc>
          <w:tcPr>
            <w:tcW w:w="4252" w:type="dxa"/>
            <w:tcBorders>
              <w:top w:val="single" w:sz="4" w:space="0" w:color="auto"/>
              <w:left w:val="single" w:sz="4" w:space="0" w:color="auto"/>
              <w:bottom w:val="single" w:sz="4" w:space="0" w:color="auto"/>
              <w:right w:val="single" w:sz="4" w:space="0" w:color="auto"/>
            </w:tcBorders>
          </w:tcPr>
          <w:p w:rsidR="00337750" w:rsidRDefault="00337750">
            <w:r>
              <w:t xml:space="preserve">Welcoming statements directed at </w:t>
            </w:r>
            <w:r>
              <w:lastRenderedPageBreak/>
              <w:t xml:space="preserve">potential female students on publicity material and advertised similarly on relevant SET school websites, eg Chemistry and Chemical Engineering, Maths &amp; Physics, Mechanical &amp; Aerospace Engineering. </w:t>
            </w:r>
          </w:p>
          <w:p w:rsidR="00337750" w:rsidRDefault="00337750"/>
          <w:p w:rsidR="00337750" w:rsidRDefault="00337750">
            <w:pPr>
              <w:rPr>
                <w:rFonts w:cs="Arial"/>
              </w:rPr>
            </w:pPr>
            <w:r>
              <w:t>Women given a high profile on all SET school websites and course promotional material and they are well represented on all outreach programmes and at recruitment days.</w:t>
            </w:r>
          </w:p>
        </w:tc>
        <w:tc>
          <w:tcPr>
            <w:tcW w:w="4253" w:type="dxa"/>
            <w:tcBorders>
              <w:top w:val="single" w:sz="4" w:space="0" w:color="auto"/>
              <w:left w:val="single" w:sz="4" w:space="0" w:color="auto"/>
              <w:bottom w:val="single" w:sz="4" w:space="0" w:color="auto"/>
              <w:right w:val="single" w:sz="4" w:space="0" w:color="auto"/>
            </w:tcBorders>
          </w:tcPr>
          <w:p w:rsidR="00337750" w:rsidRDefault="00337750">
            <w:r>
              <w:lastRenderedPageBreak/>
              <w:t xml:space="preserve">2011-2014: Make recruitment of female </w:t>
            </w:r>
            <w:r>
              <w:lastRenderedPageBreak/>
              <w:t>students a standard item on SWAN meetings agenda.</w:t>
            </w:r>
          </w:p>
          <w:p w:rsidR="00337750" w:rsidRDefault="00337750">
            <w:r>
              <w:t>2014: Assist schools to review success of measures taken in 2011-2014</w:t>
            </w:r>
          </w:p>
          <w:p w:rsidR="00337750" w:rsidRDefault="00337750"/>
          <w:p w:rsidR="00337750" w:rsidRDefault="00337750"/>
          <w:p w:rsidR="00337750" w:rsidRDefault="00337750">
            <w:r>
              <w:t>2011-2014: Promote sharing of best practice between schools via Champions network, discussion with HoS and with University Education Board.</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37750" w:rsidRDefault="00337750">
            <w:pPr>
              <w:spacing w:before="0" w:after="0" w:line="240" w:lineRule="auto"/>
            </w:pPr>
          </w:p>
        </w:tc>
        <w:tc>
          <w:tcPr>
            <w:tcW w:w="1984" w:type="dxa"/>
            <w:tcBorders>
              <w:top w:val="single" w:sz="4" w:space="0" w:color="auto"/>
              <w:left w:val="single" w:sz="4" w:space="0" w:color="auto"/>
              <w:bottom w:val="single" w:sz="4" w:space="0" w:color="auto"/>
              <w:right w:val="single" w:sz="4" w:space="0" w:color="auto"/>
            </w:tcBorders>
          </w:tcPr>
          <w:p w:rsidR="00337750" w:rsidRDefault="00337750">
            <w:r>
              <w:t xml:space="preserve">Communications </w:t>
            </w:r>
            <w:r>
              <w:lastRenderedPageBreak/>
              <w:t xml:space="preserve">Office, Dean EPS, SWAN champions, SWAN Steering Group, QGI </w:t>
            </w:r>
          </w:p>
          <w:p w:rsidR="00337750" w:rsidRDefault="00337750">
            <w:pPr>
              <w:spacing w:after="0"/>
              <w:rPr>
                <w:rFonts w:cs="Arial"/>
              </w:rPr>
            </w:pPr>
          </w:p>
        </w:tc>
      </w:tr>
      <w:tr w:rsidR="00337750" w:rsidTr="00337750">
        <w:trPr>
          <w:trHeight w:val="2047"/>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337750" w:rsidRDefault="00337750">
            <w:pPr>
              <w:spacing w:before="0" w:after="0" w:line="240" w:lineRule="auto"/>
              <w:rPr>
                <w:rFonts w:cs="Arial"/>
                <w:color w:val="FF0000"/>
              </w:rPr>
            </w:pPr>
          </w:p>
        </w:tc>
        <w:tc>
          <w:tcPr>
            <w:tcW w:w="4252" w:type="dxa"/>
            <w:tcBorders>
              <w:top w:val="single" w:sz="4" w:space="0" w:color="auto"/>
              <w:left w:val="single" w:sz="4" w:space="0" w:color="auto"/>
              <w:bottom w:val="single" w:sz="4" w:space="0" w:color="auto"/>
              <w:right w:val="single" w:sz="4" w:space="0" w:color="auto"/>
            </w:tcBorders>
          </w:tcPr>
          <w:p w:rsidR="00337750" w:rsidRDefault="00337750">
            <w:pPr>
              <w:rPr>
                <w:rFonts w:cs="Arial"/>
              </w:rPr>
            </w:pPr>
            <w:r>
              <w:rPr>
                <w:rFonts w:cs="Arial"/>
              </w:rPr>
              <w:t>STEM website is publicised widely (</w:t>
            </w:r>
            <w:hyperlink r:id="rId6" w:history="1">
              <w:r>
                <w:rPr>
                  <w:rStyle w:val="Hyperlink"/>
                </w:rPr>
                <w:t>http://www.qub.ac.uk/sites/STEM</w:t>
              </w:r>
            </w:hyperlink>
            <w:r>
              <w:rPr>
                <w:rFonts w:cs="Arial"/>
              </w:rPr>
              <w:t xml:space="preserve">) to students at Key Stage 4.  </w:t>
            </w:r>
          </w:p>
          <w:p w:rsidR="00337750" w:rsidRDefault="00337750"/>
          <w:p w:rsidR="00337750" w:rsidRDefault="00337750"/>
          <w:p w:rsidR="00337750" w:rsidRDefault="00337750"/>
          <w:p w:rsidR="00337750" w:rsidRDefault="00337750"/>
        </w:tc>
        <w:tc>
          <w:tcPr>
            <w:tcW w:w="4253" w:type="dxa"/>
            <w:tcBorders>
              <w:top w:val="single" w:sz="4" w:space="0" w:color="auto"/>
              <w:left w:val="single" w:sz="4" w:space="0" w:color="auto"/>
              <w:bottom w:val="single" w:sz="4" w:space="0" w:color="auto"/>
              <w:right w:val="single" w:sz="4" w:space="0" w:color="auto"/>
            </w:tcBorders>
            <w:hideMark/>
          </w:tcPr>
          <w:p w:rsidR="00337750" w:rsidRDefault="00337750">
            <w:r>
              <w:t>2012: Add a section on the STEM website specifically for female students and centralise links to the summer internship opportunities offered by schools.</w:t>
            </w:r>
          </w:p>
          <w:p w:rsidR="00337750" w:rsidRDefault="00337750">
            <w:r>
              <w:t>2013: Evaluate summer internship initiatives with schools and women interns through qualitative survey.</w:t>
            </w:r>
          </w:p>
          <w:p w:rsidR="00337750" w:rsidRDefault="00337750">
            <w:r>
              <w:t>2012/13: Organise a high-profile seminar discussing government-funded study on the uptake of STEM subjects by girls at second level schools in Northern Ireland.</w:t>
            </w:r>
          </w:p>
          <w:p w:rsidR="00337750" w:rsidRDefault="00337750">
            <w:pPr>
              <w:rPr>
                <w:rFonts w:cs="Arial"/>
              </w:rPr>
            </w:pPr>
            <w:r>
              <w:t xml:space="preserve">2013/14; Organise a symposium for UK-wide SET schools to share and </w:t>
            </w:r>
            <w:r>
              <w:lastRenderedPageBreak/>
              <w:t xml:space="preserve">showcase best practice in promoting science in primary schools.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37750" w:rsidRDefault="00337750">
            <w:pPr>
              <w:spacing w:before="0" w:after="0" w:line="240" w:lineRule="auto"/>
            </w:pPr>
          </w:p>
        </w:tc>
        <w:tc>
          <w:tcPr>
            <w:tcW w:w="1984" w:type="dxa"/>
            <w:tcBorders>
              <w:top w:val="single" w:sz="4" w:space="0" w:color="auto"/>
              <w:left w:val="single" w:sz="4" w:space="0" w:color="auto"/>
              <w:bottom w:val="single" w:sz="4" w:space="0" w:color="auto"/>
              <w:right w:val="single" w:sz="4" w:space="0" w:color="auto"/>
            </w:tcBorders>
          </w:tcPr>
          <w:p w:rsidR="00337750" w:rsidRDefault="00337750">
            <w:r>
              <w:t>Dean EPS, SWAN champions, HoS, QGI</w:t>
            </w:r>
          </w:p>
          <w:p w:rsidR="00337750" w:rsidRDefault="00337750"/>
        </w:tc>
      </w:tr>
    </w:tbl>
    <w:p w:rsidR="00337750" w:rsidRDefault="00337750" w:rsidP="00337750">
      <w:pPr>
        <w:rPr>
          <w:sz w:val="24"/>
          <w:szCs w:val="24"/>
        </w:rPr>
      </w:pPr>
    </w:p>
    <w:p w:rsidR="00337750" w:rsidRDefault="00337750" w:rsidP="00337750">
      <w:pPr>
        <w:pStyle w:val="Heading2"/>
        <w:rPr>
          <w:b/>
          <w:sz w:val="24"/>
          <w:szCs w:val="24"/>
        </w:rPr>
      </w:pPr>
    </w:p>
    <w:p w:rsidR="00337750" w:rsidRDefault="00337750" w:rsidP="00337750">
      <w:pPr>
        <w:pStyle w:val="Heading2"/>
        <w:rPr>
          <w:b/>
          <w:sz w:val="24"/>
          <w:szCs w:val="24"/>
        </w:rPr>
      </w:pPr>
      <w:r>
        <w:rPr>
          <w:b/>
          <w:sz w:val="24"/>
          <w:szCs w:val="24"/>
        </w:rPr>
        <w:t>2.</w:t>
      </w:r>
      <w:r>
        <w:rPr>
          <w:b/>
          <w:sz w:val="24"/>
          <w:szCs w:val="24"/>
        </w:rPr>
        <w:tab/>
        <w:t xml:space="preserve">Increase the number of women taking up postdoctoral/lecturing posts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1"/>
        <w:gridCol w:w="3827"/>
        <w:gridCol w:w="4252"/>
        <w:gridCol w:w="1985"/>
        <w:gridCol w:w="1985"/>
      </w:tblGrid>
      <w:tr w:rsidR="00337750" w:rsidTr="00337750">
        <w:tc>
          <w:tcPr>
            <w:tcW w:w="2802" w:type="dxa"/>
            <w:tcBorders>
              <w:top w:val="single" w:sz="4" w:space="0" w:color="auto"/>
              <w:left w:val="single" w:sz="4" w:space="0" w:color="auto"/>
              <w:bottom w:val="single" w:sz="4" w:space="0" w:color="auto"/>
              <w:right w:val="single" w:sz="4" w:space="0" w:color="auto"/>
            </w:tcBorders>
            <w:hideMark/>
          </w:tcPr>
          <w:p w:rsidR="00337750" w:rsidRDefault="00337750">
            <w:pPr>
              <w:jc w:val="center"/>
              <w:rPr>
                <w:b/>
              </w:rPr>
            </w:pPr>
            <w:r>
              <w:rPr>
                <w:b/>
              </w:rPr>
              <w:t>Principal action</w:t>
            </w:r>
          </w:p>
        </w:tc>
        <w:tc>
          <w:tcPr>
            <w:tcW w:w="3827" w:type="dxa"/>
            <w:tcBorders>
              <w:top w:val="single" w:sz="4" w:space="0" w:color="auto"/>
              <w:left w:val="single" w:sz="4" w:space="0" w:color="auto"/>
              <w:bottom w:val="single" w:sz="4" w:space="0" w:color="auto"/>
              <w:right w:val="single" w:sz="4" w:space="0" w:color="auto"/>
            </w:tcBorders>
            <w:hideMark/>
          </w:tcPr>
          <w:p w:rsidR="00337750" w:rsidRDefault="00337750">
            <w:pPr>
              <w:jc w:val="center"/>
              <w:rPr>
                <w:b/>
              </w:rPr>
            </w:pPr>
            <w:r>
              <w:rPr>
                <w:b/>
              </w:rPr>
              <w:t xml:space="preserve">Action already taken since </w:t>
            </w:r>
            <w:r>
              <w:rPr>
                <w:b/>
              </w:rPr>
              <w:br/>
              <w:t>last submission 2010</w:t>
            </w:r>
          </w:p>
        </w:tc>
        <w:tc>
          <w:tcPr>
            <w:tcW w:w="4252" w:type="dxa"/>
            <w:tcBorders>
              <w:top w:val="single" w:sz="4" w:space="0" w:color="auto"/>
              <w:left w:val="single" w:sz="4" w:space="0" w:color="auto"/>
              <w:bottom w:val="single" w:sz="4" w:space="0" w:color="auto"/>
              <w:right w:val="single" w:sz="4" w:space="0" w:color="auto"/>
            </w:tcBorders>
            <w:hideMark/>
          </w:tcPr>
          <w:p w:rsidR="00337750" w:rsidRDefault="00337750">
            <w:pPr>
              <w:jc w:val="center"/>
              <w:rPr>
                <w:b/>
              </w:rPr>
            </w:pPr>
            <w:r>
              <w:rPr>
                <w:b/>
              </w:rPr>
              <w:t xml:space="preserve">Actions planned from </w:t>
            </w:r>
            <w:r>
              <w:rPr>
                <w:b/>
              </w:rPr>
              <w:br/>
              <w:t>October 2011</w:t>
            </w:r>
          </w:p>
        </w:tc>
        <w:tc>
          <w:tcPr>
            <w:tcW w:w="1985" w:type="dxa"/>
            <w:tcBorders>
              <w:top w:val="single" w:sz="4" w:space="0" w:color="auto"/>
              <w:left w:val="single" w:sz="4" w:space="0" w:color="auto"/>
              <w:bottom w:val="single" w:sz="4" w:space="0" w:color="auto"/>
              <w:right w:val="single" w:sz="4" w:space="0" w:color="auto"/>
            </w:tcBorders>
            <w:hideMark/>
          </w:tcPr>
          <w:p w:rsidR="00337750" w:rsidRDefault="00337750">
            <w:pPr>
              <w:jc w:val="center"/>
              <w:rPr>
                <w:b/>
              </w:rPr>
            </w:pPr>
            <w:r>
              <w:rPr>
                <w:b/>
              </w:rPr>
              <w:t>Measure of Success</w:t>
            </w:r>
          </w:p>
        </w:tc>
        <w:tc>
          <w:tcPr>
            <w:tcW w:w="1985" w:type="dxa"/>
            <w:tcBorders>
              <w:top w:val="single" w:sz="4" w:space="0" w:color="auto"/>
              <w:left w:val="single" w:sz="4" w:space="0" w:color="auto"/>
              <w:bottom w:val="single" w:sz="4" w:space="0" w:color="auto"/>
              <w:right w:val="single" w:sz="4" w:space="0" w:color="auto"/>
            </w:tcBorders>
            <w:hideMark/>
          </w:tcPr>
          <w:p w:rsidR="00337750" w:rsidRDefault="00337750">
            <w:pPr>
              <w:jc w:val="center"/>
              <w:rPr>
                <w:b/>
              </w:rPr>
            </w:pPr>
            <w:r>
              <w:rPr>
                <w:b/>
              </w:rPr>
              <w:t>Responsibility</w:t>
            </w:r>
          </w:p>
        </w:tc>
      </w:tr>
      <w:tr w:rsidR="00337750" w:rsidTr="00337750">
        <w:tc>
          <w:tcPr>
            <w:tcW w:w="2802" w:type="dxa"/>
            <w:tcBorders>
              <w:top w:val="single" w:sz="4" w:space="0" w:color="auto"/>
              <w:left w:val="single" w:sz="4" w:space="0" w:color="auto"/>
              <w:bottom w:val="single" w:sz="4" w:space="0" w:color="auto"/>
              <w:right w:val="single" w:sz="4" w:space="0" w:color="auto"/>
            </w:tcBorders>
            <w:hideMark/>
          </w:tcPr>
          <w:p w:rsidR="00337750" w:rsidRDefault="00337750">
            <w:pPr>
              <w:rPr>
                <w:i/>
              </w:rPr>
            </w:pPr>
            <w:r>
              <w:rPr>
                <w:i/>
              </w:rPr>
              <w:t>SWAN Principles 2, 4, 5</w:t>
            </w:r>
          </w:p>
          <w:p w:rsidR="00337750" w:rsidRDefault="00337750">
            <w:r>
              <w:t>Encourage women to embark on an academic career in SET by developing awareness of the provision for postgraduate students and encouraging them to progress into the research staff and academic grades: monitor impact.</w:t>
            </w:r>
          </w:p>
        </w:tc>
        <w:tc>
          <w:tcPr>
            <w:tcW w:w="3827" w:type="dxa"/>
            <w:tcBorders>
              <w:top w:val="single" w:sz="4" w:space="0" w:color="auto"/>
              <w:left w:val="single" w:sz="4" w:space="0" w:color="auto"/>
              <w:bottom w:val="single" w:sz="4" w:space="0" w:color="auto"/>
              <w:right w:val="single" w:sz="4" w:space="0" w:color="auto"/>
            </w:tcBorders>
            <w:hideMark/>
          </w:tcPr>
          <w:p w:rsidR="00337750" w:rsidRDefault="00337750">
            <w:r>
              <w:t xml:space="preserve">Two QGI/Staff Development and Training Unit courses for postgraduate &amp; postdoctoral females on </w:t>
            </w:r>
            <w:r>
              <w:rPr>
                <w:i/>
              </w:rPr>
              <w:t>Being a Woman in a Male Environment</w:t>
            </w:r>
            <w:r>
              <w:t xml:space="preserve"> and </w:t>
            </w:r>
            <w:r>
              <w:rPr>
                <w:i/>
              </w:rPr>
              <w:t>Juggling Home and Laboratory</w:t>
            </w:r>
            <w:r>
              <w:t xml:space="preserve"> have been running since 2009 for postgraduate women.</w:t>
            </w:r>
          </w:p>
          <w:p w:rsidR="00337750" w:rsidRDefault="00337750">
            <w:r>
              <w:t xml:space="preserve"> In 2011 the courses were also made available to postdoctoral researchers.</w:t>
            </w:r>
          </w:p>
        </w:tc>
        <w:tc>
          <w:tcPr>
            <w:tcW w:w="4252" w:type="dxa"/>
            <w:tcBorders>
              <w:top w:val="single" w:sz="4" w:space="0" w:color="auto"/>
              <w:left w:val="single" w:sz="4" w:space="0" w:color="auto"/>
              <w:bottom w:val="single" w:sz="4" w:space="0" w:color="auto"/>
              <w:right w:val="single" w:sz="4" w:space="0" w:color="auto"/>
            </w:tcBorders>
          </w:tcPr>
          <w:p w:rsidR="00337750" w:rsidRDefault="00337750">
            <w:r>
              <w:t>2011-2014: Continue QGI/ Staff Development and Training Unit’s two courses for early career females</w:t>
            </w:r>
          </w:p>
          <w:p w:rsidR="00337750" w:rsidRDefault="00337750">
            <w:r>
              <w:t>2013: Review feedback from all early career courses with a view to further tailoring courses to meet identified needs.</w:t>
            </w:r>
          </w:p>
          <w:p w:rsidR="00337750" w:rsidRDefault="00337750">
            <w:r>
              <w:t xml:space="preserve">2012:  Develop and deliver new course - </w:t>
            </w:r>
            <w:r>
              <w:rPr>
                <w:i/>
              </w:rPr>
              <w:t>Role Models: the Younger Generation</w:t>
            </w:r>
            <w:r>
              <w:t>.</w:t>
            </w:r>
          </w:p>
          <w:p w:rsidR="00337750" w:rsidRDefault="00337750">
            <w:pPr>
              <w:spacing w:after="0"/>
              <w:rPr>
                <w:rFonts w:cs="Arial"/>
              </w:rPr>
            </w:pPr>
          </w:p>
        </w:tc>
        <w:tc>
          <w:tcPr>
            <w:tcW w:w="1985" w:type="dxa"/>
            <w:tcBorders>
              <w:top w:val="single" w:sz="4" w:space="0" w:color="auto"/>
              <w:left w:val="single" w:sz="4" w:space="0" w:color="auto"/>
              <w:bottom w:val="single" w:sz="4" w:space="0" w:color="auto"/>
              <w:right w:val="single" w:sz="4" w:space="0" w:color="auto"/>
            </w:tcBorders>
          </w:tcPr>
          <w:p w:rsidR="00337750" w:rsidRDefault="00337750">
            <w:r>
              <w:t>An increase in the number and proportion of women taking up postdoctoral/</w:t>
            </w:r>
            <w:r>
              <w:br/>
              <w:t>lecturing positions, arresting the decline shown in data.</w:t>
            </w:r>
          </w:p>
          <w:p w:rsidR="00337750" w:rsidRDefault="00337750">
            <w:pPr>
              <w:spacing w:after="0"/>
              <w:rPr>
                <w:rFonts w:cs="Arial"/>
              </w:rPr>
            </w:pPr>
          </w:p>
        </w:tc>
        <w:tc>
          <w:tcPr>
            <w:tcW w:w="1985" w:type="dxa"/>
            <w:tcBorders>
              <w:top w:val="single" w:sz="4" w:space="0" w:color="auto"/>
              <w:left w:val="single" w:sz="4" w:space="0" w:color="auto"/>
              <w:bottom w:val="single" w:sz="4" w:space="0" w:color="auto"/>
              <w:right w:val="single" w:sz="4" w:space="0" w:color="auto"/>
            </w:tcBorders>
          </w:tcPr>
          <w:p w:rsidR="00337750" w:rsidRDefault="00337750">
            <w:r>
              <w:t>QGI, STDU, SET Schools</w:t>
            </w:r>
          </w:p>
          <w:p w:rsidR="00337750" w:rsidRDefault="00337750"/>
          <w:p w:rsidR="00337750" w:rsidRDefault="00337750"/>
          <w:p w:rsidR="00337750" w:rsidRDefault="00337750"/>
          <w:p w:rsidR="00337750" w:rsidRDefault="00337750"/>
          <w:p w:rsidR="00337750" w:rsidRDefault="00337750"/>
        </w:tc>
      </w:tr>
      <w:tr w:rsidR="00337750" w:rsidTr="00337750">
        <w:trPr>
          <w:trHeight w:val="2047"/>
        </w:trPr>
        <w:tc>
          <w:tcPr>
            <w:tcW w:w="2802" w:type="dxa"/>
            <w:vMerge w:val="restart"/>
            <w:tcBorders>
              <w:top w:val="single" w:sz="4" w:space="0" w:color="auto"/>
              <w:left w:val="single" w:sz="4" w:space="0" w:color="auto"/>
              <w:bottom w:val="single" w:sz="4" w:space="0" w:color="auto"/>
              <w:right w:val="single" w:sz="4" w:space="0" w:color="auto"/>
            </w:tcBorders>
            <w:hideMark/>
          </w:tcPr>
          <w:p w:rsidR="00337750" w:rsidRDefault="00337750">
            <w:pPr>
              <w:rPr>
                <w:i/>
              </w:rPr>
            </w:pPr>
            <w:r>
              <w:rPr>
                <w:i/>
              </w:rPr>
              <w:lastRenderedPageBreak/>
              <w:t>SWAN Principles 1, 2, 4</w:t>
            </w:r>
          </w:p>
          <w:p w:rsidR="00337750" w:rsidRDefault="00337750">
            <w:r>
              <w:t>Increase awareness of policies supporting work-life balance of female academic and research staff among SET schools, and across the University, promoting active endorsement of these policies and practices by senior management: monitor impact.</w:t>
            </w:r>
          </w:p>
        </w:tc>
        <w:tc>
          <w:tcPr>
            <w:tcW w:w="3827" w:type="dxa"/>
            <w:vMerge w:val="restart"/>
            <w:tcBorders>
              <w:top w:val="single" w:sz="4" w:space="0" w:color="auto"/>
              <w:left w:val="single" w:sz="4" w:space="0" w:color="auto"/>
              <w:bottom w:val="single" w:sz="4" w:space="0" w:color="auto"/>
              <w:right w:val="single" w:sz="4" w:space="0" w:color="auto"/>
            </w:tcBorders>
          </w:tcPr>
          <w:p w:rsidR="00337750" w:rsidRDefault="00337750">
            <w:r>
              <w:t>Staff are supported during and on return from maternity leave through Maternity Leave Cover scheme, individual School initiatives such as ‘keeping in touch’ days (eg Pharmacy) and research semester on return (eg Chemistry and Chemical Engineering, Psychology).</w:t>
            </w:r>
          </w:p>
          <w:p w:rsidR="00337750" w:rsidRDefault="00337750"/>
          <w:p w:rsidR="00337750" w:rsidRDefault="00337750"/>
          <w:p w:rsidR="00337750" w:rsidRDefault="00337750"/>
          <w:p w:rsidR="00337750" w:rsidRDefault="00337750"/>
          <w:p w:rsidR="00337750" w:rsidRDefault="00337750"/>
          <w:p w:rsidR="00337750" w:rsidRDefault="00337750"/>
          <w:p w:rsidR="00337750" w:rsidRDefault="00337750"/>
          <w:p w:rsidR="00337750" w:rsidRDefault="00337750"/>
          <w:p w:rsidR="00337750" w:rsidRDefault="00337750"/>
          <w:p w:rsidR="00337750" w:rsidRDefault="00337750">
            <w:pPr>
              <w:spacing w:after="0"/>
              <w:rPr>
                <w:rFonts w:cs="Arial"/>
              </w:rPr>
            </w:pPr>
          </w:p>
        </w:tc>
        <w:tc>
          <w:tcPr>
            <w:tcW w:w="4252" w:type="dxa"/>
            <w:vMerge w:val="restart"/>
            <w:tcBorders>
              <w:top w:val="single" w:sz="4" w:space="0" w:color="auto"/>
              <w:left w:val="single" w:sz="4" w:space="0" w:color="auto"/>
              <w:bottom w:val="single" w:sz="4" w:space="0" w:color="auto"/>
              <w:right w:val="single" w:sz="4" w:space="0" w:color="auto"/>
            </w:tcBorders>
            <w:hideMark/>
          </w:tcPr>
          <w:p w:rsidR="00337750" w:rsidRDefault="00337750">
            <w:r>
              <w:lastRenderedPageBreak/>
              <w:t>2011/12: Produce a best-practice guide for schools on supporting staff during and on return from maternity or adoption leave drawing on practices in SET schools</w:t>
            </w:r>
          </w:p>
          <w:p w:rsidR="00337750" w:rsidRDefault="00337750">
            <w:r>
              <w:t xml:space="preserve">2011-2014: Maintain centrally-funded Maternity/Adoption Leave Cover Scheme. </w:t>
            </w:r>
          </w:p>
          <w:p w:rsidR="00337750" w:rsidRDefault="00337750">
            <w:r>
              <w:t>2013: Explore feasibility of expanding Scheme to include additional paternity leave</w:t>
            </w:r>
          </w:p>
          <w:p w:rsidR="00337750" w:rsidRDefault="00337750">
            <w:r>
              <w:t xml:space="preserve">2011/12; Support SWAN Champions and HoS in providing academic women in all SET schools with the opportunity of re-engaging with their research for the first semester on return from maternity leave. </w:t>
            </w:r>
          </w:p>
          <w:p w:rsidR="00337750" w:rsidRDefault="00337750">
            <w:r>
              <w:t xml:space="preserve">2012/13: Discuss the application of the research semester with HoS in non-SET schools, using the experience of women who have availed of the scheme to </w:t>
            </w:r>
            <w:r>
              <w:lastRenderedPageBreak/>
              <w:t>demonstrate its effectiveness</w:t>
            </w:r>
          </w:p>
          <w:p w:rsidR="00337750" w:rsidRDefault="00337750">
            <w:r>
              <w:t>2012/13: Collect and review data of career progression of academic and research women returning from maternity leave.</w:t>
            </w:r>
          </w:p>
        </w:tc>
        <w:tc>
          <w:tcPr>
            <w:tcW w:w="1985" w:type="dxa"/>
            <w:tcBorders>
              <w:top w:val="single" w:sz="4" w:space="0" w:color="auto"/>
              <w:left w:val="single" w:sz="4" w:space="0" w:color="auto"/>
              <w:bottom w:val="single" w:sz="4" w:space="0" w:color="auto"/>
              <w:right w:val="single" w:sz="4" w:space="0" w:color="auto"/>
            </w:tcBorders>
          </w:tcPr>
          <w:p w:rsidR="00337750" w:rsidRDefault="00337750">
            <w:r>
              <w:lastRenderedPageBreak/>
              <w:t>A 95% return.</w:t>
            </w:r>
          </w:p>
          <w:p w:rsidR="00337750" w:rsidRDefault="00337750"/>
          <w:p w:rsidR="00337750" w:rsidRDefault="00337750"/>
          <w:p w:rsidR="00337750" w:rsidRDefault="00337750"/>
          <w:p w:rsidR="00337750" w:rsidRDefault="00337750"/>
          <w:p w:rsidR="00337750" w:rsidRDefault="00337750"/>
          <w:p w:rsidR="00337750" w:rsidRDefault="00337750"/>
          <w:p w:rsidR="00337750" w:rsidRDefault="00337750"/>
          <w:p w:rsidR="00337750" w:rsidRDefault="00337750"/>
          <w:p w:rsidR="00337750" w:rsidRDefault="00337750"/>
          <w:p w:rsidR="00337750" w:rsidRDefault="00337750"/>
          <w:p w:rsidR="00337750" w:rsidRDefault="00337750"/>
          <w:p w:rsidR="00337750" w:rsidRDefault="00337750"/>
          <w:p w:rsidR="00337750" w:rsidRDefault="00337750">
            <w:pPr>
              <w:spacing w:after="0"/>
              <w:rPr>
                <w:rFonts w:cs="Arial"/>
              </w:rPr>
            </w:pPr>
          </w:p>
        </w:tc>
        <w:tc>
          <w:tcPr>
            <w:tcW w:w="1985" w:type="dxa"/>
            <w:tcBorders>
              <w:top w:val="single" w:sz="4" w:space="0" w:color="auto"/>
              <w:left w:val="single" w:sz="4" w:space="0" w:color="auto"/>
              <w:bottom w:val="single" w:sz="4" w:space="0" w:color="auto"/>
              <w:right w:val="single" w:sz="4" w:space="0" w:color="auto"/>
            </w:tcBorders>
            <w:hideMark/>
          </w:tcPr>
          <w:p w:rsidR="00337750" w:rsidRDefault="00337750">
            <w:r>
              <w:t>QGI, HR, SWAN champions, HoS, Deans</w:t>
            </w:r>
          </w:p>
        </w:tc>
      </w:tr>
      <w:tr w:rsidR="00337750" w:rsidTr="00337750">
        <w:trPr>
          <w:trHeight w:val="2963"/>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337750" w:rsidRDefault="00337750">
            <w:pPr>
              <w:spacing w:before="0" w:after="0" w:line="240" w:lineRule="auto"/>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37750" w:rsidRDefault="00337750">
            <w:pPr>
              <w:spacing w:before="0" w:after="0" w:line="240" w:lineRule="auto"/>
              <w:rPr>
                <w:rFonts w:cs="Arial"/>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337750" w:rsidRDefault="00337750">
            <w:pPr>
              <w:spacing w:before="0" w:after="0" w:line="240" w:lineRule="auto"/>
            </w:pPr>
          </w:p>
        </w:tc>
        <w:tc>
          <w:tcPr>
            <w:tcW w:w="1985" w:type="dxa"/>
            <w:tcBorders>
              <w:top w:val="single" w:sz="4" w:space="0" w:color="auto"/>
              <w:left w:val="single" w:sz="4" w:space="0" w:color="auto"/>
              <w:bottom w:val="single" w:sz="4" w:space="0" w:color="auto"/>
              <w:right w:val="single" w:sz="4" w:space="0" w:color="auto"/>
            </w:tcBorders>
            <w:hideMark/>
          </w:tcPr>
          <w:p w:rsidR="00337750" w:rsidRDefault="00337750">
            <w:r>
              <w:t>Evidence of career progression for those who have been on maternity leave</w:t>
            </w:r>
          </w:p>
        </w:tc>
        <w:tc>
          <w:tcPr>
            <w:tcW w:w="1985" w:type="dxa"/>
            <w:tcBorders>
              <w:top w:val="single" w:sz="4" w:space="0" w:color="auto"/>
              <w:left w:val="single" w:sz="4" w:space="0" w:color="auto"/>
              <w:bottom w:val="single" w:sz="4" w:space="0" w:color="auto"/>
              <w:right w:val="single" w:sz="4" w:space="0" w:color="auto"/>
            </w:tcBorders>
            <w:hideMark/>
          </w:tcPr>
          <w:p w:rsidR="00337750" w:rsidRDefault="00337750">
            <w:r>
              <w:t>QGI, HR, SWAN champions, Planning Office</w:t>
            </w:r>
          </w:p>
        </w:tc>
      </w:tr>
      <w:tr w:rsidR="00337750" w:rsidTr="00337750">
        <w:tc>
          <w:tcPr>
            <w:tcW w:w="2802" w:type="dxa"/>
            <w:vMerge/>
            <w:tcBorders>
              <w:top w:val="single" w:sz="4" w:space="0" w:color="auto"/>
              <w:left w:val="single" w:sz="4" w:space="0" w:color="auto"/>
              <w:bottom w:val="single" w:sz="4" w:space="0" w:color="auto"/>
              <w:right w:val="single" w:sz="4" w:space="0" w:color="auto"/>
            </w:tcBorders>
            <w:vAlign w:val="center"/>
            <w:hideMark/>
          </w:tcPr>
          <w:p w:rsidR="00337750" w:rsidRDefault="00337750">
            <w:pPr>
              <w:spacing w:before="0" w:after="0" w:line="240" w:lineRule="auto"/>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37750" w:rsidRDefault="00337750">
            <w:pPr>
              <w:spacing w:before="0" w:after="0" w:line="240" w:lineRule="auto"/>
              <w:rPr>
                <w:rFonts w:cs="Arial"/>
              </w:rPr>
            </w:pPr>
          </w:p>
        </w:tc>
        <w:tc>
          <w:tcPr>
            <w:tcW w:w="4252" w:type="dxa"/>
            <w:tcBorders>
              <w:top w:val="single" w:sz="4" w:space="0" w:color="auto"/>
              <w:left w:val="single" w:sz="4" w:space="0" w:color="auto"/>
              <w:bottom w:val="single" w:sz="4" w:space="0" w:color="auto"/>
              <w:right w:val="single" w:sz="4" w:space="0" w:color="auto"/>
            </w:tcBorders>
          </w:tcPr>
          <w:p w:rsidR="00337750" w:rsidRDefault="00337750">
            <w:r>
              <w:t>2012: Keep QUB childcare provision under annual review to ensure the needs of academic mothers are being addressed.</w:t>
            </w:r>
          </w:p>
          <w:p w:rsidR="00337750" w:rsidRDefault="00337750">
            <w:r>
              <w:t>2011-2014: Continue to publicise widely the childcare voucher /salary sacrifice schemes and 7-week summer activity scheme.</w:t>
            </w:r>
          </w:p>
          <w:p w:rsidR="00337750" w:rsidRDefault="00337750"/>
        </w:tc>
        <w:tc>
          <w:tcPr>
            <w:tcW w:w="1985" w:type="dxa"/>
            <w:tcBorders>
              <w:top w:val="single" w:sz="4" w:space="0" w:color="auto"/>
              <w:left w:val="single" w:sz="4" w:space="0" w:color="auto"/>
              <w:bottom w:val="single" w:sz="4" w:space="0" w:color="auto"/>
              <w:right w:val="single" w:sz="4" w:space="0" w:color="auto"/>
            </w:tcBorders>
          </w:tcPr>
          <w:p w:rsidR="00337750" w:rsidRDefault="00337750">
            <w:pPr>
              <w:spacing w:after="0"/>
              <w:rPr>
                <w:rFonts w:cs="Arial"/>
              </w:rPr>
            </w:pPr>
          </w:p>
        </w:tc>
        <w:tc>
          <w:tcPr>
            <w:tcW w:w="1985" w:type="dxa"/>
            <w:tcBorders>
              <w:top w:val="single" w:sz="4" w:space="0" w:color="auto"/>
              <w:left w:val="single" w:sz="4" w:space="0" w:color="auto"/>
              <w:bottom w:val="single" w:sz="4" w:space="0" w:color="auto"/>
              <w:right w:val="single" w:sz="4" w:space="0" w:color="auto"/>
            </w:tcBorders>
            <w:hideMark/>
          </w:tcPr>
          <w:p w:rsidR="00337750" w:rsidRDefault="00337750">
            <w:r>
              <w:t>HR, QGI, SWAN champions, Queen’s Childcare Service</w:t>
            </w:r>
          </w:p>
        </w:tc>
      </w:tr>
    </w:tbl>
    <w:p w:rsidR="00337750" w:rsidRDefault="00337750" w:rsidP="00337750">
      <w:pPr>
        <w:pStyle w:val="Heading2"/>
        <w:rPr>
          <w:b/>
          <w:sz w:val="24"/>
          <w:szCs w:val="24"/>
        </w:rPr>
      </w:pPr>
      <w:r>
        <w:rPr>
          <w:b/>
          <w:bCs w:val="0"/>
        </w:rPr>
        <w:br w:type="page"/>
      </w:r>
      <w:r>
        <w:rPr>
          <w:b/>
          <w:sz w:val="24"/>
          <w:szCs w:val="24"/>
        </w:rPr>
        <w:lastRenderedPageBreak/>
        <w:t>3.</w:t>
      </w:r>
      <w:r>
        <w:rPr>
          <w:b/>
          <w:sz w:val="24"/>
          <w:szCs w:val="24"/>
        </w:rPr>
        <w:tab/>
        <w:t>Increase the number of SET women in senior academic positions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2"/>
        <w:gridCol w:w="3094"/>
        <w:gridCol w:w="4063"/>
        <w:gridCol w:w="2287"/>
        <w:gridCol w:w="1988"/>
      </w:tblGrid>
      <w:tr w:rsidR="00337750" w:rsidTr="00337750">
        <w:tc>
          <w:tcPr>
            <w:tcW w:w="0" w:type="auto"/>
            <w:tcBorders>
              <w:top w:val="single" w:sz="4" w:space="0" w:color="auto"/>
              <w:left w:val="single" w:sz="4" w:space="0" w:color="auto"/>
              <w:bottom w:val="single" w:sz="4" w:space="0" w:color="auto"/>
              <w:right w:val="single" w:sz="4" w:space="0" w:color="auto"/>
            </w:tcBorders>
            <w:hideMark/>
          </w:tcPr>
          <w:p w:rsidR="00337750" w:rsidRDefault="00337750">
            <w:pPr>
              <w:jc w:val="center"/>
              <w:rPr>
                <w:b/>
              </w:rPr>
            </w:pPr>
            <w:r>
              <w:rPr>
                <w:b/>
              </w:rPr>
              <w:t>Principal action</w:t>
            </w:r>
          </w:p>
        </w:tc>
        <w:tc>
          <w:tcPr>
            <w:tcW w:w="0" w:type="auto"/>
            <w:tcBorders>
              <w:top w:val="single" w:sz="4" w:space="0" w:color="auto"/>
              <w:left w:val="single" w:sz="4" w:space="0" w:color="auto"/>
              <w:bottom w:val="single" w:sz="4" w:space="0" w:color="auto"/>
              <w:right w:val="single" w:sz="4" w:space="0" w:color="auto"/>
            </w:tcBorders>
            <w:hideMark/>
          </w:tcPr>
          <w:p w:rsidR="00337750" w:rsidRDefault="00337750">
            <w:pPr>
              <w:jc w:val="center"/>
              <w:rPr>
                <w:b/>
              </w:rPr>
            </w:pPr>
            <w:r>
              <w:rPr>
                <w:b/>
              </w:rPr>
              <w:t xml:space="preserve">Action already taken at </w:t>
            </w:r>
            <w:r>
              <w:rPr>
                <w:b/>
              </w:rPr>
              <w:br/>
              <w:t>October 2011</w:t>
            </w:r>
          </w:p>
        </w:tc>
        <w:tc>
          <w:tcPr>
            <w:tcW w:w="0" w:type="auto"/>
            <w:tcBorders>
              <w:top w:val="single" w:sz="4" w:space="0" w:color="auto"/>
              <w:left w:val="single" w:sz="4" w:space="0" w:color="auto"/>
              <w:bottom w:val="single" w:sz="4" w:space="0" w:color="auto"/>
              <w:right w:val="single" w:sz="4" w:space="0" w:color="auto"/>
            </w:tcBorders>
            <w:hideMark/>
          </w:tcPr>
          <w:p w:rsidR="00337750" w:rsidRDefault="00337750">
            <w:pPr>
              <w:jc w:val="center"/>
              <w:rPr>
                <w:b/>
              </w:rPr>
            </w:pPr>
            <w:r>
              <w:rPr>
                <w:b/>
              </w:rPr>
              <w:t xml:space="preserve">Actions planned from </w:t>
            </w:r>
            <w:r>
              <w:rPr>
                <w:b/>
              </w:rPr>
              <w:br/>
              <w:t>October 2011</w:t>
            </w:r>
          </w:p>
        </w:tc>
        <w:tc>
          <w:tcPr>
            <w:tcW w:w="0" w:type="auto"/>
            <w:tcBorders>
              <w:top w:val="single" w:sz="4" w:space="0" w:color="auto"/>
              <w:left w:val="single" w:sz="4" w:space="0" w:color="auto"/>
              <w:bottom w:val="single" w:sz="4" w:space="0" w:color="auto"/>
              <w:right w:val="single" w:sz="4" w:space="0" w:color="auto"/>
            </w:tcBorders>
            <w:hideMark/>
          </w:tcPr>
          <w:p w:rsidR="00337750" w:rsidRDefault="00337750">
            <w:pPr>
              <w:jc w:val="center"/>
              <w:rPr>
                <w:b/>
              </w:rPr>
            </w:pPr>
            <w:r>
              <w:rPr>
                <w:b/>
              </w:rPr>
              <w:t>Measure of Success</w:t>
            </w:r>
          </w:p>
        </w:tc>
        <w:tc>
          <w:tcPr>
            <w:tcW w:w="0" w:type="auto"/>
            <w:tcBorders>
              <w:top w:val="single" w:sz="4" w:space="0" w:color="auto"/>
              <w:left w:val="single" w:sz="4" w:space="0" w:color="auto"/>
              <w:bottom w:val="single" w:sz="4" w:space="0" w:color="auto"/>
              <w:right w:val="single" w:sz="4" w:space="0" w:color="auto"/>
            </w:tcBorders>
            <w:hideMark/>
          </w:tcPr>
          <w:p w:rsidR="00337750" w:rsidRDefault="00337750">
            <w:pPr>
              <w:jc w:val="center"/>
              <w:rPr>
                <w:b/>
              </w:rPr>
            </w:pPr>
            <w:r>
              <w:rPr>
                <w:b/>
              </w:rPr>
              <w:t>Responsibility</w:t>
            </w:r>
          </w:p>
        </w:tc>
      </w:tr>
      <w:tr w:rsidR="00337750" w:rsidTr="00337750">
        <w:trPr>
          <w:trHeight w:val="2261"/>
        </w:trPr>
        <w:tc>
          <w:tcPr>
            <w:tcW w:w="0" w:type="auto"/>
            <w:vMerge w:val="restart"/>
            <w:tcBorders>
              <w:top w:val="single" w:sz="4" w:space="0" w:color="auto"/>
              <w:left w:val="single" w:sz="4" w:space="0" w:color="auto"/>
              <w:bottom w:val="single" w:sz="4" w:space="0" w:color="auto"/>
              <w:right w:val="single" w:sz="4" w:space="0" w:color="auto"/>
            </w:tcBorders>
          </w:tcPr>
          <w:p w:rsidR="00337750" w:rsidRDefault="00337750">
            <w:pPr>
              <w:rPr>
                <w:i/>
              </w:rPr>
            </w:pPr>
            <w:r>
              <w:rPr>
                <w:i/>
              </w:rPr>
              <w:t>SWAN Principles 2, 3, 5</w:t>
            </w:r>
          </w:p>
          <w:p w:rsidR="00337750" w:rsidRDefault="00337750">
            <w:r>
              <w:t>Support SET women to apply for promotion through one to one mentoring, development of job portfolios, and access to procedural information.</w:t>
            </w:r>
          </w:p>
          <w:p w:rsidR="00337750" w:rsidRDefault="00337750"/>
          <w:p w:rsidR="00337750" w:rsidRDefault="00337750">
            <w:pPr>
              <w:spacing w:after="0"/>
              <w:rPr>
                <w:rFonts w:cs="Arial"/>
              </w:rPr>
            </w:pPr>
          </w:p>
        </w:tc>
        <w:tc>
          <w:tcPr>
            <w:tcW w:w="0" w:type="auto"/>
            <w:tcBorders>
              <w:top w:val="single" w:sz="4" w:space="0" w:color="auto"/>
              <w:left w:val="single" w:sz="4" w:space="0" w:color="auto"/>
              <w:bottom w:val="single" w:sz="4" w:space="0" w:color="auto"/>
              <w:right w:val="single" w:sz="4" w:space="0" w:color="auto"/>
            </w:tcBorders>
          </w:tcPr>
          <w:p w:rsidR="00337750" w:rsidRDefault="00337750">
            <w:r>
              <w:t>A review of female academic positions showed AC3 to be a particular sticking point.</w:t>
            </w:r>
          </w:p>
          <w:p w:rsidR="00337750" w:rsidRDefault="00337750"/>
        </w:tc>
        <w:tc>
          <w:tcPr>
            <w:tcW w:w="0" w:type="auto"/>
            <w:tcBorders>
              <w:top w:val="single" w:sz="4" w:space="0" w:color="auto"/>
              <w:left w:val="single" w:sz="4" w:space="0" w:color="auto"/>
              <w:bottom w:val="single" w:sz="4" w:space="0" w:color="auto"/>
              <w:right w:val="single" w:sz="4" w:space="0" w:color="auto"/>
            </w:tcBorders>
            <w:hideMark/>
          </w:tcPr>
          <w:p w:rsidR="00337750" w:rsidRDefault="00337750">
            <w:r>
              <w:t>2012: Consult with AC3 women on their perception of barriers to progress.</w:t>
            </w:r>
          </w:p>
          <w:p w:rsidR="00337750" w:rsidRDefault="00337750">
            <w:r>
              <w:t>2012/13: Review university policies on work-life balance to address these specific concerns.</w:t>
            </w:r>
          </w:p>
          <w:p w:rsidR="00337750" w:rsidRDefault="00337750">
            <w:r>
              <w:t>2013: Inform university senior management and HoS of outcome and discuss strategies for overcoming barriers.</w:t>
            </w:r>
          </w:p>
        </w:tc>
        <w:tc>
          <w:tcPr>
            <w:tcW w:w="0" w:type="auto"/>
            <w:tcBorders>
              <w:top w:val="single" w:sz="4" w:space="0" w:color="auto"/>
              <w:left w:val="single" w:sz="4" w:space="0" w:color="auto"/>
              <w:bottom w:val="single" w:sz="4" w:space="0" w:color="auto"/>
              <w:right w:val="single" w:sz="4" w:space="0" w:color="auto"/>
            </w:tcBorders>
            <w:hideMark/>
          </w:tcPr>
          <w:p w:rsidR="00337750" w:rsidRDefault="00337750">
            <w:r>
              <w:t>An increase in the number of women in senior academic positions (AC4, Professor)</w:t>
            </w:r>
          </w:p>
        </w:tc>
        <w:tc>
          <w:tcPr>
            <w:tcW w:w="0" w:type="auto"/>
            <w:tcBorders>
              <w:top w:val="single" w:sz="4" w:space="0" w:color="auto"/>
              <w:left w:val="single" w:sz="4" w:space="0" w:color="auto"/>
              <w:bottom w:val="single" w:sz="4" w:space="0" w:color="auto"/>
              <w:right w:val="single" w:sz="4" w:space="0" w:color="auto"/>
            </w:tcBorders>
            <w:hideMark/>
          </w:tcPr>
          <w:p w:rsidR="00337750" w:rsidRDefault="00337750">
            <w:r>
              <w:t>QGI, EOU, HoS, Personnel, Deans</w:t>
            </w:r>
          </w:p>
        </w:tc>
      </w:tr>
      <w:tr w:rsidR="00337750" w:rsidTr="00337750">
        <w:trPr>
          <w:trHeight w:val="2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7750" w:rsidRDefault="00337750">
            <w:pPr>
              <w:spacing w:before="0" w:after="0" w:line="240" w:lineRule="auto"/>
              <w:rPr>
                <w:rFonts w:cs="Arial"/>
              </w:rPr>
            </w:pPr>
          </w:p>
        </w:tc>
        <w:tc>
          <w:tcPr>
            <w:tcW w:w="0" w:type="auto"/>
            <w:tcBorders>
              <w:top w:val="single" w:sz="4" w:space="0" w:color="auto"/>
              <w:left w:val="single" w:sz="4" w:space="0" w:color="auto"/>
              <w:bottom w:val="single" w:sz="4" w:space="0" w:color="auto"/>
              <w:right w:val="single" w:sz="4" w:space="0" w:color="auto"/>
            </w:tcBorders>
            <w:hideMark/>
          </w:tcPr>
          <w:p w:rsidR="00337750" w:rsidRDefault="00337750">
            <w:r>
              <w:t>A mentoring report has been drafted, evaluating the career progression of the first cohort of mentees 2000-2006.</w:t>
            </w:r>
          </w:p>
        </w:tc>
        <w:tc>
          <w:tcPr>
            <w:tcW w:w="0" w:type="auto"/>
            <w:tcBorders>
              <w:top w:val="single" w:sz="4" w:space="0" w:color="auto"/>
              <w:left w:val="single" w:sz="4" w:space="0" w:color="auto"/>
              <w:bottom w:val="single" w:sz="4" w:space="0" w:color="auto"/>
              <w:right w:val="single" w:sz="4" w:space="0" w:color="auto"/>
            </w:tcBorders>
            <w:hideMark/>
          </w:tcPr>
          <w:p w:rsidR="00337750" w:rsidRDefault="00337750">
            <w:r>
              <w:t>2011-2014: Continue to provide the personal mentoring programme for contract research/lecturing staff in order to increase recruitment of females into academic posts.</w:t>
            </w:r>
          </w:p>
          <w:p w:rsidR="00337750" w:rsidRDefault="00337750">
            <w:r>
              <w:t>2013: Review job success rate and destination data of both mentors and mentees.</w:t>
            </w:r>
          </w:p>
          <w:p w:rsidR="00337750" w:rsidRDefault="00337750">
            <w:r>
              <w:t>2013/14: Mentoring report evaluating the career progression of second cohort of mentors/mentees 2007-2012.</w:t>
            </w:r>
          </w:p>
        </w:tc>
        <w:tc>
          <w:tcPr>
            <w:tcW w:w="0" w:type="auto"/>
            <w:vMerge w:val="restart"/>
            <w:tcBorders>
              <w:top w:val="single" w:sz="4" w:space="0" w:color="auto"/>
              <w:left w:val="single" w:sz="4" w:space="0" w:color="auto"/>
              <w:bottom w:val="single" w:sz="4" w:space="0" w:color="auto"/>
              <w:right w:val="single" w:sz="4" w:space="0" w:color="auto"/>
            </w:tcBorders>
            <w:hideMark/>
          </w:tcPr>
          <w:p w:rsidR="00337750" w:rsidRDefault="00337750">
            <w:r>
              <w:t>Improvement in female success rates with respect to application for and success in securing promotion.</w:t>
            </w:r>
          </w:p>
        </w:tc>
        <w:tc>
          <w:tcPr>
            <w:tcW w:w="0" w:type="auto"/>
            <w:tcBorders>
              <w:top w:val="single" w:sz="4" w:space="0" w:color="auto"/>
              <w:left w:val="single" w:sz="4" w:space="0" w:color="auto"/>
              <w:bottom w:val="single" w:sz="4" w:space="0" w:color="auto"/>
              <w:right w:val="single" w:sz="4" w:space="0" w:color="auto"/>
            </w:tcBorders>
            <w:hideMark/>
          </w:tcPr>
          <w:p w:rsidR="00337750" w:rsidRDefault="00337750">
            <w:r>
              <w:t xml:space="preserve">QGI,EOU,  HR, HoS </w:t>
            </w:r>
          </w:p>
        </w:tc>
      </w:tr>
      <w:tr w:rsidR="00337750" w:rsidTr="00337750">
        <w:trPr>
          <w:trHeight w:val="11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7750" w:rsidRDefault="00337750">
            <w:pPr>
              <w:spacing w:before="0" w:after="0" w:line="240" w:lineRule="auto"/>
              <w:rPr>
                <w:rFonts w:cs="Arial"/>
              </w:rPr>
            </w:pPr>
          </w:p>
        </w:tc>
        <w:tc>
          <w:tcPr>
            <w:tcW w:w="0" w:type="auto"/>
            <w:tcBorders>
              <w:top w:val="single" w:sz="4" w:space="0" w:color="auto"/>
              <w:left w:val="single" w:sz="4" w:space="0" w:color="auto"/>
              <w:bottom w:val="single" w:sz="4" w:space="0" w:color="auto"/>
              <w:right w:val="single" w:sz="4" w:space="0" w:color="auto"/>
            </w:tcBorders>
          </w:tcPr>
          <w:p w:rsidR="00337750" w:rsidRDefault="00337750">
            <w:r>
              <w:t>Annual preparing for promotion seminar held in 2011. This event was widely publicised and there has been an increasing number of attendees over the years.</w:t>
            </w:r>
          </w:p>
          <w:p w:rsidR="00337750" w:rsidRDefault="00337750"/>
          <w:p w:rsidR="00337750" w:rsidRDefault="00337750"/>
          <w:p w:rsidR="00337750" w:rsidRDefault="00337750"/>
          <w:p w:rsidR="00337750" w:rsidRDefault="00337750"/>
          <w:p w:rsidR="00337750" w:rsidRDefault="00337750"/>
          <w:p w:rsidR="00337750" w:rsidRDefault="00337750"/>
          <w:p w:rsidR="00337750" w:rsidRDefault="00337750"/>
          <w:p w:rsidR="00337750" w:rsidRDefault="00337750"/>
        </w:tc>
        <w:tc>
          <w:tcPr>
            <w:tcW w:w="0" w:type="auto"/>
            <w:tcBorders>
              <w:top w:val="single" w:sz="4" w:space="0" w:color="auto"/>
              <w:left w:val="single" w:sz="4" w:space="0" w:color="auto"/>
              <w:bottom w:val="single" w:sz="4" w:space="0" w:color="auto"/>
              <w:right w:val="single" w:sz="4" w:space="0" w:color="auto"/>
            </w:tcBorders>
            <w:hideMark/>
          </w:tcPr>
          <w:p w:rsidR="00337750" w:rsidRDefault="00337750">
            <w:r>
              <w:t>2011-2014: Continue to hold an annual Preparing for Promotions seminar for academic women, led by a female PVC/senior academic.</w:t>
            </w:r>
          </w:p>
          <w:p w:rsidR="00337750" w:rsidRDefault="00337750">
            <w:r>
              <w:t>2011-2104: Encourage SET schools to be more proactive in mentoring for promotion and demystifying the promotions processes.</w:t>
            </w:r>
          </w:p>
          <w:p w:rsidR="00337750" w:rsidRDefault="00337750">
            <w:r>
              <w:t>2011/12: Modify/adapt programmes, including mentoring, in response to women’s needs, e.g. in particular for women at AC3 level</w:t>
            </w:r>
          </w:p>
          <w:p w:rsidR="00337750" w:rsidRDefault="00337750">
            <w:r>
              <w:t>2011-2014: monitor the gender ratio of Directors of Research/Directors of Education (normally AC4 positions) as these are considered important management positions leading to individuals acquiring skills relevant to the Head of School position.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7750" w:rsidRDefault="00337750">
            <w:pPr>
              <w:spacing w:before="0" w:after="0" w:line="240" w:lineRule="auto"/>
            </w:pPr>
          </w:p>
        </w:tc>
        <w:tc>
          <w:tcPr>
            <w:tcW w:w="0" w:type="auto"/>
            <w:tcBorders>
              <w:top w:val="single" w:sz="4" w:space="0" w:color="auto"/>
              <w:left w:val="single" w:sz="4" w:space="0" w:color="auto"/>
              <w:bottom w:val="single" w:sz="4" w:space="0" w:color="auto"/>
              <w:right w:val="single" w:sz="4" w:space="0" w:color="auto"/>
            </w:tcBorders>
            <w:hideMark/>
          </w:tcPr>
          <w:p w:rsidR="00337750" w:rsidRDefault="00337750">
            <w:r>
              <w:t>QGI, SWAN champions, Heads of School, HR</w:t>
            </w:r>
          </w:p>
        </w:tc>
      </w:tr>
      <w:tr w:rsidR="00337750" w:rsidTr="00337750">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7750" w:rsidRDefault="00337750">
            <w:pPr>
              <w:spacing w:before="0" w:after="0" w:line="240" w:lineRule="auto"/>
              <w:rPr>
                <w:rFonts w:cs="Arial"/>
              </w:rPr>
            </w:pPr>
          </w:p>
        </w:tc>
        <w:tc>
          <w:tcPr>
            <w:tcW w:w="0" w:type="auto"/>
            <w:tcBorders>
              <w:top w:val="single" w:sz="4" w:space="0" w:color="auto"/>
              <w:left w:val="single" w:sz="4" w:space="0" w:color="auto"/>
              <w:bottom w:val="single" w:sz="4" w:space="0" w:color="auto"/>
              <w:right w:val="single" w:sz="4" w:space="0" w:color="auto"/>
            </w:tcBorders>
            <w:hideMark/>
          </w:tcPr>
          <w:p w:rsidR="00337750" w:rsidRDefault="00337750">
            <w:r>
              <w:t>Appointment of Director for Equality in Medicine, Dentistry &amp; Biomedical Sciences in close partnership with QGI and EOU.</w:t>
            </w:r>
          </w:p>
        </w:tc>
        <w:tc>
          <w:tcPr>
            <w:tcW w:w="0" w:type="auto"/>
            <w:tcBorders>
              <w:top w:val="single" w:sz="4" w:space="0" w:color="auto"/>
              <w:left w:val="single" w:sz="4" w:space="0" w:color="auto"/>
              <w:bottom w:val="single" w:sz="4" w:space="0" w:color="auto"/>
              <w:right w:val="single" w:sz="4" w:space="0" w:color="auto"/>
            </w:tcBorders>
            <w:hideMark/>
          </w:tcPr>
          <w:p w:rsidR="00337750" w:rsidRDefault="00337750">
            <w:r>
              <w:t>2011-2014: Director drafts and implements gender action plan for Medicine, Dentistry &amp; Biomedical Sciences.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7750" w:rsidRDefault="00337750">
            <w:pPr>
              <w:spacing w:before="0" w:after="0" w:line="240" w:lineRule="auto"/>
            </w:pPr>
          </w:p>
        </w:tc>
        <w:tc>
          <w:tcPr>
            <w:tcW w:w="0" w:type="auto"/>
            <w:tcBorders>
              <w:top w:val="single" w:sz="4" w:space="0" w:color="auto"/>
              <w:left w:val="single" w:sz="4" w:space="0" w:color="auto"/>
              <w:bottom w:val="single" w:sz="4" w:space="0" w:color="auto"/>
              <w:right w:val="single" w:sz="4" w:space="0" w:color="auto"/>
            </w:tcBorders>
            <w:hideMark/>
          </w:tcPr>
          <w:p w:rsidR="00337750" w:rsidRDefault="00337750">
            <w:r>
              <w:t>Equality Director, SMDBS, QGI, EOU</w:t>
            </w:r>
          </w:p>
        </w:tc>
      </w:tr>
      <w:tr w:rsidR="00337750" w:rsidTr="00337750">
        <w:tc>
          <w:tcPr>
            <w:tcW w:w="0" w:type="auto"/>
            <w:vMerge/>
            <w:tcBorders>
              <w:top w:val="single" w:sz="4" w:space="0" w:color="auto"/>
              <w:left w:val="single" w:sz="4" w:space="0" w:color="auto"/>
              <w:bottom w:val="single" w:sz="4" w:space="0" w:color="auto"/>
              <w:right w:val="single" w:sz="4" w:space="0" w:color="auto"/>
            </w:tcBorders>
            <w:vAlign w:val="center"/>
            <w:hideMark/>
          </w:tcPr>
          <w:p w:rsidR="00337750" w:rsidRDefault="00337750">
            <w:pPr>
              <w:spacing w:before="0" w:after="0" w:line="240" w:lineRule="auto"/>
              <w:rPr>
                <w:rFonts w:cs="Arial"/>
              </w:rPr>
            </w:pPr>
          </w:p>
        </w:tc>
        <w:tc>
          <w:tcPr>
            <w:tcW w:w="0" w:type="auto"/>
            <w:tcBorders>
              <w:top w:val="single" w:sz="4" w:space="0" w:color="auto"/>
              <w:left w:val="single" w:sz="4" w:space="0" w:color="auto"/>
              <w:bottom w:val="single" w:sz="4" w:space="0" w:color="auto"/>
              <w:right w:val="single" w:sz="4" w:space="0" w:color="auto"/>
            </w:tcBorders>
          </w:tcPr>
          <w:p w:rsidR="00337750" w:rsidRDefault="00337750">
            <w:r>
              <w:t xml:space="preserve">QGI/LAWN network reactivated with symposium </w:t>
            </w:r>
            <w:r>
              <w:lastRenderedPageBreak/>
              <w:t xml:space="preserve">on REF, </w:t>
            </w:r>
            <w:r>
              <w:rPr>
                <w:b/>
              </w:rPr>
              <w:t>’</w:t>
            </w:r>
            <w:r>
              <w:t>Supporting Research Excellence.’</w:t>
            </w:r>
          </w:p>
          <w:p w:rsidR="00337750" w:rsidRDefault="00337750">
            <w:pPr>
              <w:spacing w:after="0"/>
              <w:rPr>
                <w:rFonts w:cs="Arial"/>
              </w:rPr>
            </w:pPr>
          </w:p>
        </w:tc>
        <w:tc>
          <w:tcPr>
            <w:tcW w:w="0" w:type="auto"/>
            <w:tcBorders>
              <w:top w:val="single" w:sz="4" w:space="0" w:color="auto"/>
              <w:left w:val="single" w:sz="4" w:space="0" w:color="auto"/>
              <w:bottom w:val="single" w:sz="4" w:space="0" w:color="auto"/>
              <w:right w:val="single" w:sz="4" w:space="0" w:color="auto"/>
            </w:tcBorders>
            <w:hideMark/>
          </w:tcPr>
          <w:p w:rsidR="00337750" w:rsidRDefault="00337750">
            <w:r>
              <w:lastRenderedPageBreak/>
              <w:t xml:space="preserve">2011-2014: Continue to use the QGI/LAWN network, develop </w:t>
            </w:r>
            <w:r>
              <w:lastRenderedPageBreak/>
              <w:t>knowledge and expertise in addressing the wider research environment by organising symposia on:</w:t>
            </w:r>
          </w:p>
          <w:p w:rsidR="00337750" w:rsidRDefault="00337750">
            <w:r>
              <w:t>2012: Entrepreneurship and Enterprise</w:t>
            </w:r>
            <w:r>
              <w:br/>
              <w:t>2013: Internationalisation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7750" w:rsidRDefault="00337750">
            <w:pPr>
              <w:spacing w:before="0" w:after="0" w:line="240" w:lineRule="auto"/>
            </w:pPr>
          </w:p>
        </w:tc>
        <w:tc>
          <w:tcPr>
            <w:tcW w:w="0" w:type="auto"/>
            <w:tcBorders>
              <w:top w:val="single" w:sz="4" w:space="0" w:color="auto"/>
              <w:left w:val="single" w:sz="4" w:space="0" w:color="auto"/>
              <w:bottom w:val="single" w:sz="4" w:space="0" w:color="auto"/>
              <w:right w:val="single" w:sz="4" w:space="0" w:color="auto"/>
            </w:tcBorders>
            <w:hideMark/>
          </w:tcPr>
          <w:p w:rsidR="00337750" w:rsidRDefault="00337750">
            <w:r>
              <w:t xml:space="preserve">QGI, DGE in </w:t>
            </w:r>
            <w:r>
              <w:lastRenderedPageBreak/>
              <w:t>SMDBS</w:t>
            </w:r>
          </w:p>
        </w:tc>
      </w:tr>
      <w:tr w:rsidR="00337750" w:rsidTr="00337750">
        <w:tc>
          <w:tcPr>
            <w:tcW w:w="0" w:type="auto"/>
            <w:vMerge/>
            <w:tcBorders>
              <w:top w:val="single" w:sz="4" w:space="0" w:color="auto"/>
              <w:left w:val="single" w:sz="4" w:space="0" w:color="auto"/>
              <w:bottom w:val="single" w:sz="4" w:space="0" w:color="auto"/>
              <w:right w:val="single" w:sz="4" w:space="0" w:color="auto"/>
            </w:tcBorders>
            <w:vAlign w:val="center"/>
            <w:hideMark/>
          </w:tcPr>
          <w:p w:rsidR="00337750" w:rsidRDefault="00337750">
            <w:pPr>
              <w:spacing w:before="0" w:after="0" w:line="240" w:lineRule="auto"/>
              <w:rPr>
                <w:rFonts w:cs="Arial"/>
              </w:rPr>
            </w:pPr>
          </w:p>
        </w:tc>
        <w:tc>
          <w:tcPr>
            <w:tcW w:w="0" w:type="auto"/>
            <w:tcBorders>
              <w:top w:val="single" w:sz="4" w:space="0" w:color="auto"/>
              <w:left w:val="single" w:sz="4" w:space="0" w:color="auto"/>
              <w:bottom w:val="single" w:sz="4" w:space="0" w:color="auto"/>
              <w:right w:val="single" w:sz="4" w:space="0" w:color="auto"/>
            </w:tcBorders>
            <w:hideMark/>
          </w:tcPr>
          <w:p w:rsidR="00337750" w:rsidRDefault="00337750">
            <w:r>
              <w:t>Reviewed promotions in liaison with EOU and HR</w:t>
            </w:r>
          </w:p>
        </w:tc>
        <w:tc>
          <w:tcPr>
            <w:tcW w:w="0" w:type="auto"/>
            <w:tcBorders>
              <w:top w:val="single" w:sz="4" w:space="0" w:color="auto"/>
              <w:left w:val="single" w:sz="4" w:space="0" w:color="auto"/>
              <w:bottom w:val="single" w:sz="4" w:space="0" w:color="auto"/>
              <w:right w:val="single" w:sz="4" w:space="0" w:color="auto"/>
            </w:tcBorders>
            <w:hideMark/>
          </w:tcPr>
          <w:p w:rsidR="00337750" w:rsidRDefault="00337750">
            <w:r>
              <w:t>2011-2014: Continue to investigate the pattern of applications / success rates of women in SET for promotion to Senior Lecturer /Reader/ Professor</w:t>
            </w:r>
          </w:p>
          <w:p w:rsidR="00337750" w:rsidRDefault="00337750">
            <w:r>
              <w:t>2012-2014: If a particular block to women’s career progression is identified, address the cause/s.</w:t>
            </w:r>
          </w:p>
        </w:tc>
        <w:tc>
          <w:tcPr>
            <w:tcW w:w="0" w:type="auto"/>
            <w:tcBorders>
              <w:top w:val="single" w:sz="4" w:space="0" w:color="auto"/>
              <w:left w:val="single" w:sz="4" w:space="0" w:color="auto"/>
              <w:bottom w:val="single" w:sz="4" w:space="0" w:color="auto"/>
              <w:right w:val="single" w:sz="4" w:space="0" w:color="auto"/>
            </w:tcBorders>
          </w:tcPr>
          <w:p w:rsidR="00337750" w:rsidRDefault="00337750">
            <w:pPr>
              <w:spacing w:after="0"/>
              <w:rPr>
                <w:rFonts w:cs="Arial"/>
              </w:rPr>
            </w:pPr>
          </w:p>
        </w:tc>
        <w:tc>
          <w:tcPr>
            <w:tcW w:w="0" w:type="auto"/>
            <w:tcBorders>
              <w:top w:val="single" w:sz="4" w:space="0" w:color="auto"/>
              <w:left w:val="single" w:sz="4" w:space="0" w:color="auto"/>
              <w:bottom w:val="single" w:sz="4" w:space="0" w:color="auto"/>
              <w:right w:val="single" w:sz="4" w:space="0" w:color="auto"/>
            </w:tcBorders>
          </w:tcPr>
          <w:p w:rsidR="00337750" w:rsidRDefault="00337750">
            <w:r>
              <w:t>HR, EOU, QGI</w:t>
            </w:r>
          </w:p>
          <w:p w:rsidR="00337750" w:rsidRDefault="00337750">
            <w:pPr>
              <w:spacing w:after="0"/>
              <w:rPr>
                <w:rFonts w:cs="Arial"/>
              </w:rPr>
            </w:pPr>
          </w:p>
        </w:tc>
      </w:tr>
      <w:tr w:rsidR="00337750" w:rsidTr="00337750">
        <w:trPr>
          <w:trHeight w:val="6441"/>
        </w:trPr>
        <w:tc>
          <w:tcPr>
            <w:tcW w:w="0" w:type="auto"/>
            <w:tcBorders>
              <w:top w:val="single" w:sz="4" w:space="0" w:color="auto"/>
              <w:left w:val="single" w:sz="4" w:space="0" w:color="auto"/>
              <w:bottom w:val="single" w:sz="4" w:space="0" w:color="auto"/>
              <w:right w:val="single" w:sz="4" w:space="0" w:color="auto"/>
            </w:tcBorders>
            <w:hideMark/>
          </w:tcPr>
          <w:p w:rsidR="00337750" w:rsidRDefault="00337750">
            <w:pPr>
              <w:rPr>
                <w:i/>
              </w:rPr>
            </w:pPr>
            <w:r>
              <w:rPr>
                <w:i/>
              </w:rPr>
              <w:lastRenderedPageBreak/>
              <w:t>SWAN Principles 1, 2, 4</w:t>
            </w:r>
          </w:p>
          <w:p w:rsidR="00337750" w:rsidRDefault="00337750">
            <w:r>
              <w:t>Promote gender-sensitive policies in recruitment procedures.</w:t>
            </w:r>
          </w:p>
        </w:tc>
        <w:tc>
          <w:tcPr>
            <w:tcW w:w="0" w:type="auto"/>
            <w:tcBorders>
              <w:top w:val="single" w:sz="4" w:space="0" w:color="auto"/>
              <w:left w:val="single" w:sz="4" w:space="0" w:color="auto"/>
              <w:bottom w:val="single" w:sz="4" w:space="0" w:color="auto"/>
              <w:right w:val="single" w:sz="4" w:space="0" w:color="auto"/>
            </w:tcBorders>
          </w:tcPr>
          <w:p w:rsidR="00337750" w:rsidRDefault="00337750">
            <w:r>
              <w:t>Advertisements for senior academic positions carried welcoming statements encouraging women to apply.</w:t>
            </w:r>
          </w:p>
          <w:p w:rsidR="00337750" w:rsidRDefault="00337750"/>
          <w:p w:rsidR="00337750" w:rsidRDefault="00337750"/>
          <w:p w:rsidR="00337750" w:rsidRDefault="00337750"/>
          <w:p w:rsidR="00337750" w:rsidRDefault="00337750">
            <w:pPr>
              <w:rPr>
                <w:rFonts w:cs="Arial"/>
              </w:rPr>
            </w:pPr>
          </w:p>
        </w:tc>
        <w:tc>
          <w:tcPr>
            <w:tcW w:w="0" w:type="auto"/>
            <w:tcBorders>
              <w:top w:val="single" w:sz="4" w:space="0" w:color="auto"/>
              <w:left w:val="single" w:sz="4" w:space="0" w:color="auto"/>
              <w:bottom w:val="single" w:sz="4" w:space="0" w:color="auto"/>
              <w:right w:val="single" w:sz="4" w:space="0" w:color="auto"/>
            </w:tcBorders>
            <w:hideMark/>
          </w:tcPr>
          <w:p w:rsidR="00337750" w:rsidRDefault="00337750">
            <w:r>
              <w:t>2011-2014: Use the positive welcoming statement in adverts and information packages for senior academic posts, as appropriate.</w:t>
            </w:r>
          </w:p>
          <w:p w:rsidR="00337750" w:rsidRDefault="00337750">
            <w:r>
              <w:t>2011-2014: Encourage schools to proactively assist in the identification of potential female applicants at early stages of recruitment.</w:t>
            </w:r>
          </w:p>
          <w:p w:rsidR="00337750" w:rsidRDefault="00337750">
            <w:r>
              <w:t>2011-2014: Ensure breaks for maternity leave during applicant’s career are taken into consideration at shortlisting and interview stages.</w:t>
            </w:r>
          </w:p>
          <w:p w:rsidR="00337750" w:rsidRDefault="00337750">
            <w:r>
              <w:t>2011-2014: Give detailed feedback to unsuccessful internal applicants to help them with future applications.</w:t>
            </w:r>
          </w:p>
          <w:p w:rsidR="00337750" w:rsidRDefault="00337750">
            <w:r>
              <w:t>2011-2014: Deans to monitor and support their Heads of Schools’ efforts in increasing the proportion of women in their SET school.</w:t>
            </w:r>
          </w:p>
        </w:tc>
        <w:tc>
          <w:tcPr>
            <w:tcW w:w="0" w:type="auto"/>
            <w:tcBorders>
              <w:top w:val="single" w:sz="4" w:space="0" w:color="auto"/>
              <w:left w:val="single" w:sz="4" w:space="0" w:color="auto"/>
              <w:bottom w:val="single" w:sz="4" w:space="0" w:color="auto"/>
              <w:right w:val="single" w:sz="4" w:space="0" w:color="auto"/>
            </w:tcBorders>
          </w:tcPr>
          <w:p w:rsidR="00337750" w:rsidRDefault="00337750">
            <w:pPr>
              <w:spacing w:after="0"/>
              <w:rPr>
                <w:rFonts w:cs="Arial"/>
                <w:color w:val="FF0000"/>
              </w:rPr>
            </w:pPr>
          </w:p>
        </w:tc>
        <w:tc>
          <w:tcPr>
            <w:tcW w:w="0" w:type="auto"/>
            <w:tcBorders>
              <w:top w:val="single" w:sz="4" w:space="0" w:color="auto"/>
              <w:left w:val="single" w:sz="4" w:space="0" w:color="auto"/>
              <w:bottom w:val="single" w:sz="4" w:space="0" w:color="auto"/>
              <w:right w:val="single" w:sz="4" w:space="0" w:color="auto"/>
            </w:tcBorders>
            <w:hideMark/>
          </w:tcPr>
          <w:p w:rsidR="00337750" w:rsidRDefault="00337750">
            <w:r>
              <w:t>HR, EOU, Deans, HoS</w:t>
            </w:r>
          </w:p>
        </w:tc>
      </w:tr>
      <w:tr w:rsidR="00337750" w:rsidTr="00337750">
        <w:trPr>
          <w:trHeight w:val="2967"/>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37750" w:rsidRDefault="00337750">
            <w:pPr>
              <w:rPr>
                <w:i/>
              </w:rPr>
            </w:pPr>
            <w:r>
              <w:rPr>
                <w:i/>
              </w:rPr>
              <w:lastRenderedPageBreak/>
              <w:t>SWAN Principles1, 3</w:t>
            </w:r>
          </w:p>
          <w:p w:rsidR="00337750" w:rsidRDefault="00337750">
            <w:r>
              <w:t>Improve the gender balance in Head of School and other senior academic positions across the University</w:t>
            </w:r>
          </w:p>
        </w:tc>
        <w:tc>
          <w:tcPr>
            <w:tcW w:w="0" w:type="auto"/>
            <w:vMerge w:val="restart"/>
            <w:tcBorders>
              <w:top w:val="single" w:sz="4" w:space="0" w:color="auto"/>
              <w:left w:val="single" w:sz="4" w:space="0" w:color="auto"/>
              <w:bottom w:val="single" w:sz="4" w:space="0" w:color="auto"/>
              <w:right w:val="single" w:sz="4" w:space="0" w:color="auto"/>
            </w:tcBorders>
            <w:hideMark/>
          </w:tcPr>
          <w:p w:rsidR="00337750" w:rsidRDefault="00337750">
            <w:r>
              <w:t>QGI engaged in intensive informal discussion and networking with senior women, encouraging them to consider leadership positions.</w:t>
            </w:r>
          </w:p>
          <w:p w:rsidR="00337750" w:rsidRDefault="00337750">
            <w:r>
              <w:t xml:space="preserve">Staff Development and Training Unit was main sponsor of flagship </w:t>
            </w:r>
            <w:r>
              <w:rPr>
                <w:i/>
              </w:rPr>
              <w:t>Women in Leadership</w:t>
            </w:r>
            <w:r>
              <w:t xml:space="preserve"> conference, October 2011 attracting attendance of over 100 participants.</w:t>
            </w:r>
          </w:p>
        </w:tc>
        <w:tc>
          <w:tcPr>
            <w:tcW w:w="0" w:type="auto"/>
            <w:vMerge w:val="restart"/>
            <w:tcBorders>
              <w:top w:val="single" w:sz="4" w:space="0" w:color="auto"/>
              <w:left w:val="single" w:sz="4" w:space="0" w:color="auto"/>
              <w:bottom w:val="single" w:sz="4" w:space="0" w:color="auto"/>
              <w:right w:val="single" w:sz="4" w:space="0" w:color="auto"/>
            </w:tcBorders>
            <w:hideMark/>
          </w:tcPr>
          <w:p w:rsidR="00337750" w:rsidRDefault="00337750">
            <w:pPr>
              <w:rPr>
                <w:i/>
              </w:rPr>
            </w:pPr>
            <w:r>
              <w:t>2011-2012; Work with Staff Development and Training Unit to promote the Leadership Excellence Programme among senior women.</w:t>
            </w:r>
          </w:p>
          <w:p w:rsidR="00337750" w:rsidRDefault="00337750">
            <w:r>
              <w:t xml:space="preserve">2011/12:  Develop a peer-support initiative for women holding DR, DE, HoS positions </w:t>
            </w:r>
          </w:p>
          <w:p w:rsidR="00337750" w:rsidRDefault="00337750">
            <w:r>
              <w:t>2012-2014: Work with Staff Development and Training Unit to promote leadership development courses as being relevant to women at all stages of their careers</w:t>
            </w:r>
          </w:p>
          <w:p w:rsidR="00337750" w:rsidRDefault="00337750">
            <w:pPr>
              <w:rPr>
                <w:i/>
              </w:rPr>
            </w:pPr>
            <w:r>
              <w:t>2011-2014; Monitor the take-up of leadership development courses by women.</w:t>
            </w:r>
          </w:p>
        </w:tc>
        <w:tc>
          <w:tcPr>
            <w:tcW w:w="0" w:type="auto"/>
            <w:tcBorders>
              <w:top w:val="single" w:sz="4" w:space="0" w:color="auto"/>
              <w:left w:val="single" w:sz="4" w:space="0" w:color="auto"/>
              <w:bottom w:val="single" w:sz="4" w:space="0" w:color="auto"/>
              <w:right w:val="single" w:sz="4" w:space="0" w:color="auto"/>
            </w:tcBorders>
          </w:tcPr>
          <w:p w:rsidR="00337750" w:rsidRDefault="00337750">
            <w:pPr>
              <w:spacing w:after="0"/>
              <w:rPr>
                <w:rFonts w:cs="Arial"/>
              </w:rPr>
            </w:pPr>
          </w:p>
        </w:tc>
        <w:tc>
          <w:tcPr>
            <w:tcW w:w="0" w:type="auto"/>
            <w:tcBorders>
              <w:top w:val="single" w:sz="4" w:space="0" w:color="auto"/>
              <w:left w:val="single" w:sz="4" w:space="0" w:color="auto"/>
              <w:bottom w:val="single" w:sz="4" w:space="0" w:color="auto"/>
              <w:right w:val="single" w:sz="4" w:space="0" w:color="auto"/>
            </w:tcBorders>
            <w:hideMark/>
          </w:tcPr>
          <w:p w:rsidR="00337750" w:rsidRDefault="00337750">
            <w:r>
              <w:t>QGI/STDU</w:t>
            </w:r>
          </w:p>
        </w:tc>
      </w:tr>
      <w:tr w:rsidR="00337750" w:rsidTr="00337750">
        <w:trPr>
          <w:trHeight w:val="26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7750" w:rsidRDefault="00337750">
            <w:pPr>
              <w:spacing w:before="0"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7750" w:rsidRDefault="00337750">
            <w:pPr>
              <w:spacing w:before="0"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7750" w:rsidRDefault="00337750">
            <w:pPr>
              <w:spacing w:before="0" w:after="0" w:line="240" w:lineRule="auto"/>
              <w:rPr>
                <w:i/>
              </w:rPr>
            </w:pPr>
          </w:p>
        </w:tc>
        <w:tc>
          <w:tcPr>
            <w:tcW w:w="0" w:type="auto"/>
            <w:vMerge w:val="restart"/>
            <w:tcBorders>
              <w:top w:val="single" w:sz="4" w:space="0" w:color="auto"/>
              <w:left w:val="single" w:sz="4" w:space="0" w:color="auto"/>
              <w:bottom w:val="single" w:sz="4" w:space="0" w:color="auto"/>
              <w:right w:val="single" w:sz="4" w:space="0" w:color="auto"/>
            </w:tcBorders>
          </w:tcPr>
          <w:p w:rsidR="00337750" w:rsidRDefault="00337750">
            <w:pPr>
              <w:spacing w:after="0"/>
              <w:rPr>
                <w:rFonts w:cs="Arial"/>
              </w:rPr>
            </w:pPr>
          </w:p>
        </w:tc>
        <w:tc>
          <w:tcPr>
            <w:tcW w:w="0" w:type="auto"/>
            <w:tcBorders>
              <w:top w:val="single" w:sz="4" w:space="0" w:color="auto"/>
              <w:left w:val="single" w:sz="4" w:space="0" w:color="auto"/>
              <w:bottom w:val="single" w:sz="4" w:space="0" w:color="auto"/>
              <w:right w:val="single" w:sz="4" w:space="0" w:color="auto"/>
            </w:tcBorders>
            <w:hideMark/>
          </w:tcPr>
          <w:p w:rsidR="00337750" w:rsidRDefault="00337750">
            <w:pPr>
              <w:spacing w:before="0" w:after="0"/>
              <w:rPr>
                <w:rFonts w:asciiTheme="minorHAnsi" w:hAnsiTheme="minorHAnsi" w:cs="Times New Roman"/>
              </w:rPr>
            </w:pPr>
          </w:p>
        </w:tc>
      </w:tr>
      <w:tr w:rsidR="00337750" w:rsidTr="00337750">
        <w:trPr>
          <w:trHeight w:val="28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7750" w:rsidRDefault="00337750">
            <w:pPr>
              <w:spacing w:before="0" w:after="0" w:line="240" w:lineRule="auto"/>
            </w:pPr>
          </w:p>
        </w:tc>
        <w:tc>
          <w:tcPr>
            <w:tcW w:w="0" w:type="auto"/>
            <w:tcBorders>
              <w:top w:val="single" w:sz="4" w:space="0" w:color="auto"/>
              <w:left w:val="single" w:sz="4" w:space="0" w:color="auto"/>
              <w:bottom w:val="single" w:sz="4" w:space="0" w:color="auto"/>
              <w:right w:val="single" w:sz="4" w:space="0" w:color="auto"/>
            </w:tcBorders>
            <w:hideMark/>
          </w:tcPr>
          <w:p w:rsidR="00337750" w:rsidRDefault="00337750">
            <w:r>
              <w:t xml:space="preserve">Equal Pay Review outcome was discussed within the HR Directorate. </w:t>
            </w:r>
          </w:p>
        </w:tc>
        <w:tc>
          <w:tcPr>
            <w:tcW w:w="0" w:type="auto"/>
            <w:tcBorders>
              <w:top w:val="single" w:sz="4" w:space="0" w:color="auto"/>
              <w:left w:val="single" w:sz="4" w:space="0" w:color="auto"/>
              <w:bottom w:val="single" w:sz="4" w:space="0" w:color="auto"/>
              <w:right w:val="single" w:sz="4" w:space="0" w:color="auto"/>
            </w:tcBorders>
            <w:hideMark/>
          </w:tcPr>
          <w:p w:rsidR="00337750" w:rsidRDefault="00337750">
            <w:r>
              <w:t>2012: Publicise widely criteria for professorial advancement.</w:t>
            </w:r>
          </w:p>
          <w:p w:rsidR="00337750" w:rsidRDefault="00337750">
            <w:r>
              <w:t>2011-2014: Encourage HoS to examine professorial salaries in their schools for salary anomalies and take corrective action where required.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7750" w:rsidRDefault="00337750">
            <w:pPr>
              <w:spacing w:before="0" w:after="0" w:line="240" w:lineRule="auto"/>
              <w:rPr>
                <w:rFonts w:cs="Arial"/>
              </w:rPr>
            </w:pPr>
          </w:p>
        </w:tc>
        <w:tc>
          <w:tcPr>
            <w:tcW w:w="0" w:type="auto"/>
            <w:tcBorders>
              <w:top w:val="single" w:sz="4" w:space="0" w:color="auto"/>
              <w:left w:val="single" w:sz="4" w:space="0" w:color="auto"/>
              <w:bottom w:val="single" w:sz="4" w:space="0" w:color="auto"/>
              <w:right w:val="single" w:sz="4" w:space="0" w:color="auto"/>
            </w:tcBorders>
            <w:hideMark/>
          </w:tcPr>
          <w:p w:rsidR="00337750" w:rsidRDefault="00337750">
            <w:r>
              <w:t>Deans, HR, HoS, QGI</w:t>
            </w:r>
          </w:p>
        </w:tc>
      </w:tr>
      <w:tr w:rsidR="00337750" w:rsidTr="00337750">
        <w:trPr>
          <w:trHeight w:val="1621"/>
        </w:trPr>
        <w:tc>
          <w:tcPr>
            <w:tcW w:w="0" w:type="auto"/>
            <w:tcBorders>
              <w:top w:val="single" w:sz="4" w:space="0" w:color="auto"/>
              <w:left w:val="single" w:sz="4" w:space="0" w:color="auto"/>
              <w:bottom w:val="single" w:sz="4" w:space="0" w:color="auto"/>
              <w:right w:val="single" w:sz="4" w:space="0" w:color="auto"/>
            </w:tcBorders>
            <w:hideMark/>
          </w:tcPr>
          <w:p w:rsidR="00337750" w:rsidRDefault="00337750">
            <w:pPr>
              <w:rPr>
                <w:i/>
              </w:rPr>
            </w:pPr>
            <w:r>
              <w:rPr>
                <w:i/>
              </w:rPr>
              <w:lastRenderedPageBreak/>
              <w:t>SWAN Principle 4</w:t>
            </w:r>
          </w:p>
          <w:p w:rsidR="00337750" w:rsidRDefault="00337750">
            <w:r>
              <w:t>Increase the representation of women on school/</w:t>
            </w:r>
            <w:r>
              <w:br/>
              <w:t>university committees /working groups.</w:t>
            </w:r>
          </w:p>
        </w:tc>
        <w:tc>
          <w:tcPr>
            <w:tcW w:w="0" w:type="auto"/>
            <w:tcBorders>
              <w:top w:val="single" w:sz="4" w:space="0" w:color="auto"/>
              <w:left w:val="single" w:sz="4" w:space="0" w:color="auto"/>
              <w:bottom w:val="single" w:sz="4" w:space="0" w:color="auto"/>
              <w:right w:val="single" w:sz="4" w:space="0" w:color="auto"/>
            </w:tcBorders>
          </w:tcPr>
          <w:p w:rsidR="00337750" w:rsidRDefault="00337750">
            <w:r>
              <w:t>In 2011 a QGI report on the representation of women on committees prompted Deans to identify and appoint women to vacancies on university boards and working groups.</w:t>
            </w:r>
          </w:p>
          <w:p w:rsidR="00337750" w:rsidRDefault="00337750">
            <w:pPr>
              <w:spacing w:before="100" w:beforeAutospacing="1" w:after="100" w:afterAutospacing="1"/>
              <w:rPr>
                <w:rFonts w:cs="Arial"/>
              </w:rPr>
            </w:pPr>
          </w:p>
        </w:tc>
        <w:tc>
          <w:tcPr>
            <w:tcW w:w="0" w:type="auto"/>
            <w:tcBorders>
              <w:top w:val="single" w:sz="4" w:space="0" w:color="auto"/>
              <w:left w:val="single" w:sz="4" w:space="0" w:color="auto"/>
              <w:bottom w:val="single" w:sz="4" w:space="0" w:color="auto"/>
              <w:right w:val="single" w:sz="4" w:space="0" w:color="auto"/>
            </w:tcBorders>
            <w:hideMark/>
          </w:tcPr>
          <w:p w:rsidR="00337750" w:rsidRDefault="00337750">
            <w:r>
              <w:t>2013/14: Repeat survey of women’s representation on university committees and working groups. Consult widely on findings and recommendations.</w:t>
            </w:r>
          </w:p>
        </w:tc>
        <w:tc>
          <w:tcPr>
            <w:tcW w:w="0" w:type="auto"/>
            <w:tcBorders>
              <w:top w:val="single" w:sz="4" w:space="0" w:color="auto"/>
              <w:left w:val="single" w:sz="4" w:space="0" w:color="auto"/>
              <w:bottom w:val="single" w:sz="4" w:space="0" w:color="auto"/>
              <w:right w:val="single" w:sz="4" w:space="0" w:color="auto"/>
            </w:tcBorders>
            <w:hideMark/>
          </w:tcPr>
          <w:p w:rsidR="00337750" w:rsidRDefault="00337750">
            <w:r>
              <w:t>An increase in the number of women on university committees and working groups</w:t>
            </w:r>
          </w:p>
        </w:tc>
        <w:tc>
          <w:tcPr>
            <w:tcW w:w="0" w:type="auto"/>
            <w:tcBorders>
              <w:top w:val="single" w:sz="4" w:space="0" w:color="auto"/>
              <w:left w:val="single" w:sz="4" w:space="0" w:color="auto"/>
              <w:bottom w:val="single" w:sz="4" w:space="0" w:color="auto"/>
              <w:right w:val="single" w:sz="4" w:space="0" w:color="auto"/>
            </w:tcBorders>
            <w:hideMark/>
          </w:tcPr>
          <w:p w:rsidR="00337750" w:rsidRDefault="00337750">
            <w:r>
              <w:t>QGI, HR, Registrar’s Office, Deans</w:t>
            </w:r>
          </w:p>
        </w:tc>
      </w:tr>
    </w:tbl>
    <w:p w:rsidR="00337750" w:rsidRDefault="00337750" w:rsidP="00337750"/>
    <w:p w:rsidR="00337750" w:rsidRDefault="00337750" w:rsidP="00337750"/>
    <w:p w:rsidR="00337750" w:rsidRDefault="00337750" w:rsidP="00337750">
      <w:pPr>
        <w:pStyle w:val="Heading2"/>
        <w:rPr>
          <w:b/>
        </w:rPr>
      </w:pPr>
      <w:r>
        <w:rPr>
          <w:b/>
        </w:rPr>
        <w:t>4.</w:t>
      </w:r>
      <w:r>
        <w:rPr>
          <w:b/>
        </w:rPr>
        <w:tab/>
        <w:t>Develop the organisational culture in ways to facilitate female recruitment and progression</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4111"/>
        <w:gridCol w:w="4252"/>
        <w:gridCol w:w="1985"/>
        <w:gridCol w:w="2268"/>
      </w:tblGrid>
      <w:tr w:rsidR="00337750" w:rsidTr="00337750">
        <w:tc>
          <w:tcPr>
            <w:tcW w:w="2518" w:type="dxa"/>
            <w:tcBorders>
              <w:top w:val="single" w:sz="4" w:space="0" w:color="auto"/>
              <w:left w:val="single" w:sz="4" w:space="0" w:color="auto"/>
              <w:bottom w:val="single" w:sz="4" w:space="0" w:color="auto"/>
              <w:right w:val="single" w:sz="4" w:space="0" w:color="auto"/>
            </w:tcBorders>
            <w:hideMark/>
          </w:tcPr>
          <w:p w:rsidR="00337750" w:rsidRDefault="00337750">
            <w:pPr>
              <w:jc w:val="center"/>
              <w:rPr>
                <w:b/>
              </w:rPr>
            </w:pPr>
            <w:r>
              <w:rPr>
                <w:b/>
              </w:rPr>
              <w:t>Principal action</w:t>
            </w:r>
          </w:p>
        </w:tc>
        <w:tc>
          <w:tcPr>
            <w:tcW w:w="4111" w:type="dxa"/>
            <w:tcBorders>
              <w:top w:val="single" w:sz="4" w:space="0" w:color="auto"/>
              <w:left w:val="single" w:sz="4" w:space="0" w:color="auto"/>
              <w:bottom w:val="single" w:sz="4" w:space="0" w:color="auto"/>
              <w:right w:val="single" w:sz="4" w:space="0" w:color="auto"/>
            </w:tcBorders>
            <w:hideMark/>
          </w:tcPr>
          <w:p w:rsidR="00337750" w:rsidRDefault="00337750">
            <w:pPr>
              <w:jc w:val="center"/>
              <w:rPr>
                <w:b/>
              </w:rPr>
            </w:pPr>
            <w:r>
              <w:rPr>
                <w:b/>
              </w:rPr>
              <w:t>Action already taken and outcome at October 2011</w:t>
            </w:r>
          </w:p>
        </w:tc>
        <w:tc>
          <w:tcPr>
            <w:tcW w:w="4252" w:type="dxa"/>
            <w:tcBorders>
              <w:top w:val="single" w:sz="4" w:space="0" w:color="auto"/>
              <w:left w:val="single" w:sz="4" w:space="0" w:color="auto"/>
              <w:bottom w:val="single" w:sz="4" w:space="0" w:color="auto"/>
              <w:right w:val="single" w:sz="4" w:space="0" w:color="auto"/>
            </w:tcBorders>
            <w:hideMark/>
          </w:tcPr>
          <w:p w:rsidR="00337750" w:rsidRDefault="00337750">
            <w:pPr>
              <w:jc w:val="center"/>
              <w:rPr>
                <w:b/>
              </w:rPr>
            </w:pPr>
            <w:r>
              <w:rPr>
                <w:b/>
              </w:rPr>
              <w:t>Actions planned from October 2011</w:t>
            </w:r>
          </w:p>
        </w:tc>
        <w:tc>
          <w:tcPr>
            <w:tcW w:w="1985" w:type="dxa"/>
            <w:tcBorders>
              <w:top w:val="single" w:sz="4" w:space="0" w:color="auto"/>
              <w:left w:val="single" w:sz="4" w:space="0" w:color="auto"/>
              <w:bottom w:val="single" w:sz="4" w:space="0" w:color="auto"/>
              <w:right w:val="single" w:sz="4" w:space="0" w:color="auto"/>
            </w:tcBorders>
            <w:hideMark/>
          </w:tcPr>
          <w:p w:rsidR="00337750" w:rsidRDefault="00337750">
            <w:pPr>
              <w:jc w:val="center"/>
              <w:rPr>
                <w:b/>
              </w:rPr>
            </w:pPr>
            <w:r>
              <w:rPr>
                <w:b/>
              </w:rPr>
              <w:t>Measure of success</w:t>
            </w:r>
          </w:p>
        </w:tc>
        <w:tc>
          <w:tcPr>
            <w:tcW w:w="2268" w:type="dxa"/>
            <w:tcBorders>
              <w:top w:val="single" w:sz="4" w:space="0" w:color="auto"/>
              <w:left w:val="single" w:sz="4" w:space="0" w:color="auto"/>
              <w:bottom w:val="single" w:sz="4" w:space="0" w:color="auto"/>
              <w:right w:val="single" w:sz="4" w:space="0" w:color="auto"/>
            </w:tcBorders>
            <w:hideMark/>
          </w:tcPr>
          <w:p w:rsidR="00337750" w:rsidRDefault="00337750">
            <w:pPr>
              <w:jc w:val="center"/>
              <w:rPr>
                <w:b/>
              </w:rPr>
            </w:pPr>
            <w:r>
              <w:rPr>
                <w:b/>
              </w:rPr>
              <w:t>Responsibility</w:t>
            </w:r>
          </w:p>
        </w:tc>
      </w:tr>
      <w:tr w:rsidR="00337750" w:rsidTr="00337750">
        <w:tc>
          <w:tcPr>
            <w:tcW w:w="2518" w:type="dxa"/>
            <w:vMerge w:val="restart"/>
            <w:tcBorders>
              <w:top w:val="single" w:sz="4" w:space="0" w:color="auto"/>
              <w:left w:val="single" w:sz="4" w:space="0" w:color="auto"/>
              <w:bottom w:val="single" w:sz="4" w:space="0" w:color="auto"/>
              <w:right w:val="single" w:sz="4" w:space="0" w:color="auto"/>
            </w:tcBorders>
          </w:tcPr>
          <w:p w:rsidR="00337750" w:rsidRDefault="00337750">
            <w:pPr>
              <w:rPr>
                <w:i/>
              </w:rPr>
            </w:pPr>
            <w:r>
              <w:rPr>
                <w:i/>
              </w:rPr>
              <w:t>SWAN Principle 6</w:t>
            </w:r>
          </w:p>
          <w:p w:rsidR="00337750" w:rsidRDefault="00337750">
            <w:r>
              <w:t>Celebrate women’s achievements and improve the culture for all women in the University.</w:t>
            </w:r>
          </w:p>
          <w:p w:rsidR="00337750" w:rsidRDefault="00337750">
            <w:pPr>
              <w:spacing w:after="0"/>
              <w:rPr>
                <w:rFonts w:cs="Arial"/>
              </w:rPr>
            </w:pPr>
          </w:p>
        </w:tc>
        <w:tc>
          <w:tcPr>
            <w:tcW w:w="4111" w:type="dxa"/>
            <w:tcBorders>
              <w:top w:val="single" w:sz="4" w:space="0" w:color="auto"/>
              <w:left w:val="single" w:sz="4" w:space="0" w:color="auto"/>
              <w:bottom w:val="single" w:sz="4" w:space="0" w:color="auto"/>
              <w:right w:val="single" w:sz="4" w:space="0" w:color="auto"/>
            </w:tcBorders>
            <w:hideMark/>
          </w:tcPr>
          <w:p w:rsidR="00337750" w:rsidRDefault="00337750">
            <w:r>
              <w:t>Organised a major ‘Women in Leadership Conference’ highlighting women’s leadership role in academia, with particular attention to women role models in HE, SET and non-traditional subject areas/disciplines</w:t>
            </w:r>
          </w:p>
          <w:p w:rsidR="00337750" w:rsidRDefault="00337750">
            <w:r>
              <w:t xml:space="preserve">In 2011 the University won recognition in the </w:t>
            </w:r>
            <w:r>
              <w:rPr>
                <w:i/>
              </w:rPr>
              <w:t>Times Top 50 Employers of Women</w:t>
            </w:r>
            <w:r>
              <w:t xml:space="preserve"> list, only one of two UK universities</w:t>
            </w:r>
          </w:p>
        </w:tc>
        <w:tc>
          <w:tcPr>
            <w:tcW w:w="4252" w:type="dxa"/>
            <w:tcBorders>
              <w:top w:val="single" w:sz="4" w:space="0" w:color="auto"/>
              <w:left w:val="single" w:sz="4" w:space="0" w:color="auto"/>
              <w:bottom w:val="single" w:sz="4" w:space="0" w:color="auto"/>
              <w:right w:val="single" w:sz="4" w:space="0" w:color="auto"/>
            </w:tcBorders>
            <w:hideMark/>
          </w:tcPr>
          <w:p w:rsidR="00337750" w:rsidRDefault="00337750">
            <w:r>
              <w:t>2011/12: Consult women across the University on initiatives they would like to see happen that put women’s achievements in the spotlight.</w:t>
            </w:r>
            <w:r>
              <w:br/>
              <w:t>2012-2014: Take action arising.</w:t>
            </w:r>
          </w:p>
          <w:p w:rsidR="00337750" w:rsidRDefault="00337750">
            <w:r>
              <w:t>2011-2014: Organise high profile celebrations of SWAN success and women’s achievements in the University.</w:t>
            </w:r>
          </w:p>
        </w:tc>
        <w:tc>
          <w:tcPr>
            <w:tcW w:w="1985" w:type="dxa"/>
            <w:vMerge w:val="restart"/>
            <w:tcBorders>
              <w:top w:val="single" w:sz="4" w:space="0" w:color="auto"/>
              <w:left w:val="single" w:sz="4" w:space="0" w:color="auto"/>
              <w:bottom w:val="single" w:sz="4" w:space="0" w:color="auto"/>
              <w:right w:val="single" w:sz="4" w:space="0" w:color="auto"/>
            </w:tcBorders>
            <w:hideMark/>
          </w:tcPr>
          <w:p w:rsidR="00337750" w:rsidRDefault="00337750">
            <w:r>
              <w:t>Monitoring the number of press releases that feature women in SET.</w:t>
            </w:r>
          </w:p>
        </w:tc>
        <w:tc>
          <w:tcPr>
            <w:tcW w:w="2268" w:type="dxa"/>
            <w:tcBorders>
              <w:top w:val="single" w:sz="4" w:space="0" w:color="auto"/>
              <w:left w:val="single" w:sz="4" w:space="0" w:color="auto"/>
              <w:bottom w:val="single" w:sz="4" w:space="0" w:color="auto"/>
              <w:right w:val="single" w:sz="4" w:space="0" w:color="auto"/>
            </w:tcBorders>
            <w:hideMark/>
          </w:tcPr>
          <w:p w:rsidR="00337750" w:rsidRDefault="00337750">
            <w:r>
              <w:t>QGI, Communications Office</w:t>
            </w:r>
          </w:p>
        </w:tc>
      </w:tr>
      <w:tr w:rsidR="00337750" w:rsidTr="00337750">
        <w:tc>
          <w:tcPr>
            <w:tcW w:w="2518" w:type="dxa"/>
            <w:vMerge/>
            <w:tcBorders>
              <w:top w:val="single" w:sz="4" w:space="0" w:color="auto"/>
              <w:left w:val="single" w:sz="4" w:space="0" w:color="auto"/>
              <w:bottom w:val="single" w:sz="4" w:space="0" w:color="auto"/>
              <w:right w:val="single" w:sz="4" w:space="0" w:color="auto"/>
            </w:tcBorders>
            <w:vAlign w:val="center"/>
            <w:hideMark/>
          </w:tcPr>
          <w:p w:rsidR="00337750" w:rsidRDefault="00337750">
            <w:pPr>
              <w:spacing w:before="0" w:after="0" w:line="240" w:lineRule="auto"/>
              <w:rPr>
                <w:rFonts w:cs="Arial"/>
              </w:rPr>
            </w:pPr>
          </w:p>
        </w:tc>
        <w:tc>
          <w:tcPr>
            <w:tcW w:w="4111" w:type="dxa"/>
            <w:tcBorders>
              <w:top w:val="single" w:sz="4" w:space="0" w:color="auto"/>
              <w:left w:val="single" w:sz="4" w:space="0" w:color="auto"/>
              <w:bottom w:val="single" w:sz="4" w:space="0" w:color="auto"/>
              <w:right w:val="single" w:sz="4" w:space="0" w:color="auto"/>
            </w:tcBorders>
            <w:hideMark/>
          </w:tcPr>
          <w:p w:rsidR="00337750" w:rsidRDefault="00337750">
            <w:r>
              <w:t xml:space="preserve">In June 2011, a senior female engineer </w:t>
            </w:r>
            <w:r>
              <w:lastRenderedPageBreak/>
              <w:t xml:space="preserve">from the construction engineering sector gave the QGI’s Annual Lecture, </w:t>
            </w:r>
            <w:r>
              <w:rPr>
                <w:i/>
              </w:rPr>
              <w:t>Engineering Leadership for Transformational Change</w:t>
            </w:r>
            <w:r>
              <w:t xml:space="preserve"> </w:t>
            </w:r>
          </w:p>
        </w:tc>
        <w:tc>
          <w:tcPr>
            <w:tcW w:w="4252" w:type="dxa"/>
            <w:tcBorders>
              <w:top w:val="single" w:sz="4" w:space="0" w:color="auto"/>
              <w:left w:val="single" w:sz="4" w:space="0" w:color="auto"/>
              <w:bottom w:val="single" w:sz="4" w:space="0" w:color="auto"/>
              <w:right w:val="single" w:sz="4" w:space="0" w:color="auto"/>
            </w:tcBorders>
            <w:hideMark/>
          </w:tcPr>
          <w:p w:rsidR="00337750" w:rsidRDefault="00337750">
            <w:r>
              <w:lastRenderedPageBreak/>
              <w:t xml:space="preserve">From 2012 the QGI Annual Lecture will </w:t>
            </w:r>
            <w:r>
              <w:lastRenderedPageBreak/>
              <w:t>be known as the Annual Claire Macmahon Lecture in recognition of the achievements of the university’s first female Pro-Chancellor</w:t>
            </w:r>
          </w:p>
          <w:p w:rsidR="00337750" w:rsidRDefault="00337750">
            <w:r>
              <w:t>The annual speaker will be chosen in consultation with each SET school in turn</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37750" w:rsidRDefault="00337750">
            <w:pPr>
              <w:spacing w:before="0" w:after="0" w:line="240" w:lineRule="auto"/>
            </w:pPr>
          </w:p>
        </w:tc>
        <w:tc>
          <w:tcPr>
            <w:tcW w:w="2268" w:type="dxa"/>
            <w:tcBorders>
              <w:top w:val="single" w:sz="4" w:space="0" w:color="auto"/>
              <w:left w:val="single" w:sz="4" w:space="0" w:color="auto"/>
              <w:bottom w:val="single" w:sz="4" w:space="0" w:color="auto"/>
              <w:right w:val="single" w:sz="4" w:space="0" w:color="auto"/>
            </w:tcBorders>
          </w:tcPr>
          <w:p w:rsidR="00337750" w:rsidRDefault="00337750">
            <w:r>
              <w:t xml:space="preserve">QGI, SET SWAN </w:t>
            </w:r>
            <w:r>
              <w:lastRenderedPageBreak/>
              <w:t>Champions</w:t>
            </w:r>
          </w:p>
          <w:p w:rsidR="00337750" w:rsidRDefault="00337750">
            <w:pPr>
              <w:rPr>
                <w:rFonts w:cs="Arial"/>
              </w:rPr>
            </w:pPr>
          </w:p>
        </w:tc>
      </w:tr>
      <w:tr w:rsidR="00337750" w:rsidTr="00337750">
        <w:tc>
          <w:tcPr>
            <w:tcW w:w="2518" w:type="dxa"/>
            <w:vMerge/>
            <w:tcBorders>
              <w:top w:val="single" w:sz="4" w:space="0" w:color="auto"/>
              <w:left w:val="single" w:sz="4" w:space="0" w:color="auto"/>
              <w:bottom w:val="single" w:sz="4" w:space="0" w:color="auto"/>
              <w:right w:val="single" w:sz="4" w:space="0" w:color="auto"/>
            </w:tcBorders>
            <w:vAlign w:val="center"/>
            <w:hideMark/>
          </w:tcPr>
          <w:p w:rsidR="00337750" w:rsidRDefault="00337750">
            <w:pPr>
              <w:spacing w:before="0" w:after="0" w:line="240" w:lineRule="auto"/>
              <w:rPr>
                <w:rFonts w:cs="Arial"/>
              </w:rPr>
            </w:pPr>
          </w:p>
        </w:tc>
        <w:tc>
          <w:tcPr>
            <w:tcW w:w="4111" w:type="dxa"/>
            <w:tcBorders>
              <w:top w:val="single" w:sz="4" w:space="0" w:color="auto"/>
              <w:left w:val="single" w:sz="4" w:space="0" w:color="auto"/>
              <w:bottom w:val="single" w:sz="4" w:space="0" w:color="auto"/>
              <w:right w:val="single" w:sz="4" w:space="0" w:color="auto"/>
            </w:tcBorders>
            <w:hideMark/>
          </w:tcPr>
          <w:p w:rsidR="00337750" w:rsidRDefault="00337750">
            <w:r>
              <w:t>A special working group was set up to organise and promote International Women’s Day events in 2012.</w:t>
            </w:r>
          </w:p>
        </w:tc>
        <w:tc>
          <w:tcPr>
            <w:tcW w:w="4252" w:type="dxa"/>
            <w:tcBorders>
              <w:top w:val="single" w:sz="4" w:space="0" w:color="auto"/>
              <w:left w:val="single" w:sz="4" w:space="0" w:color="auto"/>
              <w:bottom w:val="single" w:sz="4" w:space="0" w:color="auto"/>
              <w:right w:val="single" w:sz="4" w:space="0" w:color="auto"/>
            </w:tcBorders>
          </w:tcPr>
          <w:p w:rsidR="00337750" w:rsidRDefault="00337750">
            <w:r>
              <w:t>2011-2014: Highlight women’s contribution to the University by celebrating International Women’s Day through an eclectic programme of events and activities.</w:t>
            </w:r>
          </w:p>
          <w:p w:rsidR="00337750" w:rsidRDefault="00337750">
            <w:pPr>
              <w:spacing w:after="0"/>
              <w:rPr>
                <w:rFonts w:cs="Arial"/>
              </w:rPr>
            </w:pPr>
          </w:p>
        </w:tc>
        <w:tc>
          <w:tcPr>
            <w:tcW w:w="1985" w:type="dxa"/>
            <w:tcBorders>
              <w:top w:val="single" w:sz="4" w:space="0" w:color="auto"/>
              <w:left w:val="single" w:sz="4" w:space="0" w:color="auto"/>
              <w:bottom w:val="single" w:sz="4" w:space="0" w:color="auto"/>
              <w:right w:val="single" w:sz="4" w:space="0" w:color="auto"/>
            </w:tcBorders>
          </w:tcPr>
          <w:p w:rsidR="00337750" w:rsidRDefault="00337750">
            <w:pPr>
              <w:spacing w:after="0"/>
              <w:rPr>
                <w:rFonts w:cs="Arial"/>
              </w:rPr>
            </w:pPr>
          </w:p>
        </w:tc>
        <w:tc>
          <w:tcPr>
            <w:tcW w:w="2268" w:type="dxa"/>
            <w:tcBorders>
              <w:top w:val="single" w:sz="4" w:space="0" w:color="auto"/>
              <w:left w:val="single" w:sz="4" w:space="0" w:color="auto"/>
              <w:bottom w:val="single" w:sz="4" w:space="0" w:color="auto"/>
              <w:right w:val="single" w:sz="4" w:space="0" w:color="auto"/>
            </w:tcBorders>
            <w:hideMark/>
          </w:tcPr>
          <w:p w:rsidR="00337750" w:rsidRDefault="00337750">
            <w:r>
              <w:t>QGI</w:t>
            </w:r>
          </w:p>
        </w:tc>
      </w:tr>
      <w:tr w:rsidR="00337750" w:rsidTr="00337750">
        <w:tc>
          <w:tcPr>
            <w:tcW w:w="2518" w:type="dxa"/>
            <w:vMerge/>
            <w:tcBorders>
              <w:top w:val="single" w:sz="4" w:space="0" w:color="auto"/>
              <w:left w:val="single" w:sz="4" w:space="0" w:color="auto"/>
              <w:bottom w:val="single" w:sz="4" w:space="0" w:color="auto"/>
              <w:right w:val="single" w:sz="4" w:space="0" w:color="auto"/>
            </w:tcBorders>
            <w:vAlign w:val="center"/>
            <w:hideMark/>
          </w:tcPr>
          <w:p w:rsidR="00337750" w:rsidRDefault="00337750">
            <w:pPr>
              <w:spacing w:before="0" w:after="0" w:line="240" w:lineRule="auto"/>
              <w:rPr>
                <w:rFonts w:cs="Arial"/>
              </w:rPr>
            </w:pPr>
          </w:p>
        </w:tc>
        <w:tc>
          <w:tcPr>
            <w:tcW w:w="4111" w:type="dxa"/>
            <w:tcBorders>
              <w:top w:val="single" w:sz="4" w:space="0" w:color="auto"/>
              <w:left w:val="single" w:sz="4" w:space="0" w:color="auto"/>
              <w:bottom w:val="single" w:sz="4" w:space="0" w:color="auto"/>
              <w:right w:val="single" w:sz="4" w:space="0" w:color="auto"/>
            </w:tcBorders>
            <w:hideMark/>
          </w:tcPr>
          <w:p w:rsidR="00337750" w:rsidRDefault="00337750">
            <w:r>
              <w:t>The name of the Women’s Forum changed to QGI Executive Committee to reflect the mainstreaming of gender equality in the University.</w:t>
            </w:r>
          </w:p>
          <w:p w:rsidR="00337750" w:rsidRDefault="00337750">
            <w:r>
              <w:t>In 2011 the membership of the Executive Committee was reviewed and updated to ensure it continues to be representative of women across the University. SWAN champions have been integrated into the Executive Committee’s structure.</w:t>
            </w:r>
          </w:p>
        </w:tc>
        <w:tc>
          <w:tcPr>
            <w:tcW w:w="4252" w:type="dxa"/>
            <w:tcBorders>
              <w:top w:val="single" w:sz="4" w:space="0" w:color="auto"/>
              <w:left w:val="single" w:sz="4" w:space="0" w:color="auto"/>
              <w:bottom w:val="single" w:sz="4" w:space="0" w:color="auto"/>
              <w:right w:val="single" w:sz="4" w:space="0" w:color="auto"/>
            </w:tcBorders>
          </w:tcPr>
          <w:p w:rsidR="00337750" w:rsidRDefault="00337750">
            <w:r>
              <w:t>2011-2014: Continue to hold meetings of the QGI Executive Committee on a monthly basis, with actions arising.</w:t>
            </w:r>
          </w:p>
          <w:p w:rsidR="00337750" w:rsidRDefault="00337750"/>
          <w:p w:rsidR="00337750" w:rsidRDefault="00337750">
            <w:pPr>
              <w:spacing w:after="0"/>
              <w:rPr>
                <w:rFonts w:cs="Arial"/>
              </w:rPr>
            </w:pPr>
          </w:p>
        </w:tc>
        <w:tc>
          <w:tcPr>
            <w:tcW w:w="1985" w:type="dxa"/>
            <w:tcBorders>
              <w:top w:val="single" w:sz="4" w:space="0" w:color="auto"/>
              <w:left w:val="single" w:sz="4" w:space="0" w:color="auto"/>
              <w:bottom w:val="single" w:sz="4" w:space="0" w:color="auto"/>
              <w:right w:val="single" w:sz="4" w:space="0" w:color="auto"/>
            </w:tcBorders>
          </w:tcPr>
          <w:p w:rsidR="00337750" w:rsidRDefault="00337750">
            <w:pPr>
              <w:spacing w:after="0"/>
              <w:rPr>
                <w:rFonts w:cs="Arial"/>
              </w:rPr>
            </w:pPr>
          </w:p>
        </w:tc>
        <w:tc>
          <w:tcPr>
            <w:tcW w:w="2268" w:type="dxa"/>
            <w:tcBorders>
              <w:top w:val="single" w:sz="4" w:space="0" w:color="auto"/>
              <w:left w:val="single" w:sz="4" w:space="0" w:color="auto"/>
              <w:bottom w:val="single" w:sz="4" w:space="0" w:color="auto"/>
              <w:right w:val="single" w:sz="4" w:space="0" w:color="auto"/>
            </w:tcBorders>
            <w:hideMark/>
          </w:tcPr>
          <w:p w:rsidR="00337750" w:rsidRDefault="00337750">
            <w:r>
              <w:t>QGI</w:t>
            </w:r>
          </w:p>
        </w:tc>
      </w:tr>
      <w:tr w:rsidR="00337750" w:rsidTr="00337750">
        <w:tc>
          <w:tcPr>
            <w:tcW w:w="2518" w:type="dxa"/>
            <w:tcBorders>
              <w:top w:val="single" w:sz="4" w:space="0" w:color="auto"/>
              <w:left w:val="single" w:sz="4" w:space="0" w:color="auto"/>
              <w:bottom w:val="single" w:sz="4" w:space="0" w:color="auto"/>
              <w:right w:val="single" w:sz="4" w:space="0" w:color="auto"/>
            </w:tcBorders>
            <w:vAlign w:val="center"/>
            <w:hideMark/>
          </w:tcPr>
          <w:p w:rsidR="00337750" w:rsidRDefault="00337750">
            <w:pPr>
              <w:spacing w:before="0" w:after="0"/>
              <w:rPr>
                <w:rFonts w:asciiTheme="minorHAnsi" w:hAnsiTheme="minorHAnsi" w:cs="Times New Roman"/>
              </w:rPr>
            </w:pPr>
          </w:p>
        </w:tc>
        <w:tc>
          <w:tcPr>
            <w:tcW w:w="4111" w:type="dxa"/>
            <w:tcBorders>
              <w:top w:val="single" w:sz="4" w:space="0" w:color="auto"/>
              <w:left w:val="single" w:sz="4" w:space="0" w:color="auto"/>
              <w:bottom w:val="single" w:sz="4" w:space="0" w:color="auto"/>
              <w:right w:val="single" w:sz="4" w:space="0" w:color="auto"/>
            </w:tcBorders>
            <w:hideMark/>
          </w:tcPr>
          <w:p w:rsidR="00337750" w:rsidRDefault="00337750">
            <w:pPr>
              <w:spacing w:before="0" w:after="0"/>
              <w:rPr>
                <w:rFonts w:asciiTheme="minorHAnsi" w:hAnsiTheme="minorHAnsi" w:cs="Times New Roman"/>
              </w:rPr>
            </w:pPr>
          </w:p>
        </w:tc>
        <w:tc>
          <w:tcPr>
            <w:tcW w:w="4252" w:type="dxa"/>
            <w:tcBorders>
              <w:top w:val="single" w:sz="4" w:space="0" w:color="auto"/>
              <w:left w:val="single" w:sz="4" w:space="0" w:color="auto"/>
              <w:bottom w:val="single" w:sz="4" w:space="0" w:color="auto"/>
              <w:right w:val="single" w:sz="4" w:space="0" w:color="auto"/>
            </w:tcBorders>
            <w:hideMark/>
          </w:tcPr>
          <w:p w:rsidR="00337750" w:rsidRDefault="00337750">
            <w:r>
              <w:t xml:space="preserve">2011-2014: Nominate outstanding women for honorary degrees, conferring </w:t>
            </w:r>
            <w:r>
              <w:lastRenderedPageBreak/>
              <w:t>annually.</w:t>
            </w:r>
          </w:p>
          <w:p w:rsidR="00337750" w:rsidRDefault="00337750">
            <w:r>
              <w:t>2011-2014: Continue to make honorary degrees for women a standing agenda item on QGI’s Executive Committee’s monthly meetings.</w:t>
            </w:r>
          </w:p>
        </w:tc>
        <w:tc>
          <w:tcPr>
            <w:tcW w:w="1985" w:type="dxa"/>
            <w:tcBorders>
              <w:top w:val="single" w:sz="4" w:space="0" w:color="auto"/>
              <w:left w:val="single" w:sz="4" w:space="0" w:color="auto"/>
              <w:bottom w:val="single" w:sz="4" w:space="0" w:color="auto"/>
              <w:right w:val="single" w:sz="4" w:space="0" w:color="auto"/>
            </w:tcBorders>
            <w:hideMark/>
          </w:tcPr>
          <w:p w:rsidR="00337750" w:rsidRDefault="00337750">
            <w:r>
              <w:lastRenderedPageBreak/>
              <w:t xml:space="preserve">An increase in the number of women receiving </w:t>
            </w:r>
            <w:r>
              <w:lastRenderedPageBreak/>
              <w:t>honorary degrees.</w:t>
            </w:r>
          </w:p>
        </w:tc>
        <w:tc>
          <w:tcPr>
            <w:tcW w:w="2268" w:type="dxa"/>
            <w:tcBorders>
              <w:top w:val="single" w:sz="4" w:space="0" w:color="auto"/>
              <w:left w:val="single" w:sz="4" w:space="0" w:color="auto"/>
              <w:bottom w:val="single" w:sz="4" w:space="0" w:color="auto"/>
              <w:right w:val="single" w:sz="4" w:space="0" w:color="auto"/>
            </w:tcBorders>
            <w:hideMark/>
          </w:tcPr>
          <w:p w:rsidR="00337750" w:rsidRDefault="00337750">
            <w:r>
              <w:lastRenderedPageBreak/>
              <w:t>QGI</w:t>
            </w:r>
          </w:p>
        </w:tc>
      </w:tr>
      <w:tr w:rsidR="00337750" w:rsidTr="00337750">
        <w:tc>
          <w:tcPr>
            <w:tcW w:w="2518" w:type="dxa"/>
            <w:vMerge w:val="restart"/>
            <w:tcBorders>
              <w:top w:val="single" w:sz="4" w:space="0" w:color="auto"/>
              <w:left w:val="single" w:sz="4" w:space="0" w:color="auto"/>
              <w:bottom w:val="single" w:sz="4" w:space="0" w:color="auto"/>
              <w:right w:val="single" w:sz="4" w:space="0" w:color="auto"/>
            </w:tcBorders>
          </w:tcPr>
          <w:p w:rsidR="00337750" w:rsidRDefault="00337750">
            <w:pPr>
              <w:rPr>
                <w:i/>
              </w:rPr>
            </w:pPr>
            <w:r>
              <w:lastRenderedPageBreak/>
              <w:br w:type="page"/>
            </w:r>
            <w:r>
              <w:rPr>
                <w:i/>
              </w:rPr>
              <w:t>SWAN Principle 1, 2, 6</w:t>
            </w:r>
          </w:p>
          <w:p w:rsidR="00337750" w:rsidRDefault="00337750">
            <w:r>
              <w:t>Promote continued awareness of SWAN award ideals at school / university levels.</w:t>
            </w:r>
          </w:p>
          <w:p w:rsidR="00337750" w:rsidRDefault="00337750"/>
          <w:p w:rsidR="00337750" w:rsidRDefault="00337750">
            <w:pPr>
              <w:rPr>
                <w:b/>
                <w:color w:val="4F81BD"/>
              </w:rPr>
            </w:pPr>
            <w:r>
              <w:t>.</w:t>
            </w:r>
          </w:p>
        </w:tc>
        <w:tc>
          <w:tcPr>
            <w:tcW w:w="4111" w:type="dxa"/>
            <w:tcBorders>
              <w:top w:val="single" w:sz="4" w:space="0" w:color="auto"/>
              <w:left w:val="single" w:sz="4" w:space="0" w:color="auto"/>
              <w:bottom w:val="single" w:sz="4" w:space="0" w:color="auto"/>
              <w:right w:val="single" w:sz="4" w:space="0" w:color="auto"/>
            </w:tcBorders>
          </w:tcPr>
          <w:p w:rsidR="00337750" w:rsidRDefault="00337750">
            <w:r>
              <w:t>SET School Champions networked with regular meetings to share information and reviews of school/university policies on issues as they impact on equal opportunities in SET.</w:t>
            </w:r>
          </w:p>
          <w:p w:rsidR="00337750" w:rsidRDefault="00337750"/>
          <w:p w:rsidR="00337750" w:rsidRDefault="00337750">
            <w:r>
              <w:t>Three representatives from non-SET schools now sit on the SWAN champions subgroup.</w:t>
            </w:r>
          </w:p>
        </w:tc>
        <w:tc>
          <w:tcPr>
            <w:tcW w:w="4252" w:type="dxa"/>
            <w:tcBorders>
              <w:top w:val="single" w:sz="4" w:space="0" w:color="auto"/>
              <w:left w:val="single" w:sz="4" w:space="0" w:color="auto"/>
              <w:bottom w:val="single" w:sz="4" w:space="0" w:color="auto"/>
              <w:right w:val="single" w:sz="4" w:space="0" w:color="auto"/>
            </w:tcBorders>
          </w:tcPr>
          <w:p w:rsidR="00337750" w:rsidRDefault="00337750">
            <w:r>
              <w:t>2011-2014: Continue to ensure SET school Self-assessment team meetings are a continuous process and SWAN activities a regular item on School Management Board agendas.</w:t>
            </w:r>
          </w:p>
          <w:p w:rsidR="00337750" w:rsidRDefault="00337750">
            <w:r>
              <w:t xml:space="preserve">2011-2014: Continue regular meetings of the SWAN Steering Group to provide ongoing advice and support on school and university delivery of Action Plans. </w:t>
            </w:r>
          </w:p>
          <w:p w:rsidR="00337750" w:rsidRDefault="00337750"/>
          <w:p w:rsidR="00337750" w:rsidRDefault="00337750">
            <w:r>
              <w:t>2011/12: Plan for next Action Plan period with SET schools and SWAN champions.</w:t>
            </w:r>
          </w:p>
        </w:tc>
        <w:tc>
          <w:tcPr>
            <w:tcW w:w="1985" w:type="dxa"/>
            <w:tcBorders>
              <w:top w:val="single" w:sz="4" w:space="0" w:color="auto"/>
              <w:left w:val="single" w:sz="4" w:space="0" w:color="auto"/>
              <w:bottom w:val="single" w:sz="4" w:space="0" w:color="auto"/>
              <w:right w:val="single" w:sz="4" w:space="0" w:color="auto"/>
            </w:tcBorders>
          </w:tcPr>
          <w:p w:rsidR="00337750" w:rsidRDefault="00337750">
            <w:pPr>
              <w:spacing w:after="0"/>
              <w:rPr>
                <w:rFonts w:cs="Arial"/>
              </w:rPr>
            </w:pPr>
          </w:p>
        </w:tc>
        <w:tc>
          <w:tcPr>
            <w:tcW w:w="2268" w:type="dxa"/>
            <w:tcBorders>
              <w:top w:val="single" w:sz="4" w:space="0" w:color="auto"/>
              <w:left w:val="single" w:sz="4" w:space="0" w:color="auto"/>
              <w:bottom w:val="single" w:sz="4" w:space="0" w:color="auto"/>
              <w:right w:val="single" w:sz="4" w:space="0" w:color="auto"/>
            </w:tcBorders>
            <w:hideMark/>
          </w:tcPr>
          <w:p w:rsidR="00337750" w:rsidRDefault="00337750">
            <w:r>
              <w:t>Dean EPS, SWAN champions, HoS</w:t>
            </w:r>
          </w:p>
        </w:tc>
      </w:tr>
      <w:tr w:rsidR="00337750" w:rsidTr="00337750">
        <w:tc>
          <w:tcPr>
            <w:tcW w:w="2518" w:type="dxa"/>
            <w:vMerge/>
            <w:tcBorders>
              <w:top w:val="single" w:sz="4" w:space="0" w:color="auto"/>
              <w:left w:val="single" w:sz="4" w:space="0" w:color="auto"/>
              <w:bottom w:val="single" w:sz="4" w:space="0" w:color="auto"/>
              <w:right w:val="single" w:sz="4" w:space="0" w:color="auto"/>
            </w:tcBorders>
            <w:vAlign w:val="center"/>
            <w:hideMark/>
          </w:tcPr>
          <w:p w:rsidR="00337750" w:rsidRDefault="00337750">
            <w:pPr>
              <w:spacing w:before="0" w:after="0" w:line="240" w:lineRule="auto"/>
              <w:rPr>
                <w:b/>
                <w:color w:val="4F81BD"/>
              </w:rPr>
            </w:pPr>
          </w:p>
        </w:tc>
        <w:tc>
          <w:tcPr>
            <w:tcW w:w="4111" w:type="dxa"/>
            <w:tcBorders>
              <w:top w:val="single" w:sz="4" w:space="0" w:color="auto"/>
              <w:left w:val="single" w:sz="4" w:space="0" w:color="auto"/>
              <w:bottom w:val="single" w:sz="4" w:space="0" w:color="auto"/>
              <w:right w:val="single" w:sz="4" w:space="0" w:color="auto"/>
            </w:tcBorders>
          </w:tcPr>
          <w:p w:rsidR="00337750" w:rsidRDefault="00337750">
            <w:r>
              <w:t>A best practice guide produced by QGI was widely circulated, including to non-SET schools interested in following Athena SWAN guidelines.</w:t>
            </w:r>
          </w:p>
          <w:p w:rsidR="00337750" w:rsidRDefault="00337750"/>
        </w:tc>
        <w:tc>
          <w:tcPr>
            <w:tcW w:w="4252" w:type="dxa"/>
            <w:tcBorders>
              <w:top w:val="single" w:sz="4" w:space="0" w:color="auto"/>
              <w:left w:val="single" w:sz="4" w:space="0" w:color="auto"/>
              <w:bottom w:val="single" w:sz="4" w:space="0" w:color="auto"/>
              <w:right w:val="single" w:sz="4" w:space="0" w:color="auto"/>
            </w:tcBorders>
            <w:hideMark/>
          </w:tcPr>
          <w:p w:rsidR="00337750" w:rsidRDefault="00337750">
            <w:r>
              <w:t>2011-2014; Continue to encourage non-SET schools to follow SWAN initiatives including developing gender action plans.</w:t>
            </w:r>
          </w:p>
        </w:tc>
        <w:tc>
          <w:tcPr>
            <w:tcW w:w="1985" w:type="dxa"/>
            <w:tcBorders>
              <w:top w:val="single" w:sz="4" w:space="0" w:color="auto"/>
              <w:left w:val="single" w:sz="4" w:space="0" w:color="auto"/>
              <w:bottom w:val="single" w:sz="4" w:space="0" w:color="auto"/>
              <w:right w:val="single" w:sz="4" w:space="0" w:color="auto"/>
            </w:tcBorders>
          </w:tcPr>
          <w:p w:rsidR="00337750" w:rsidRDefault="00337750">
            <w:pPr>
              <w:spacing w:after="0"/>
              <w:rPr>
                <w:rFonts w:cs="Arial"/>
              </w:rPr>
            </w:pPr>
          </w:p>
        </w:tc>
        <w:tc>
          <w:tcPr>
            <w:tcW w:w="2268" w:type="dxa"/>
            <w:tcBorders>
              <w:top w:val="single" w:sz="4" w:space="0" w:color="auto"/>
              <w:left w:val="single" w:sz="4" w:space="0" w:color="auto"/>
              <w:bottom w:val="single" w:sz="4" w:space="0" w:color="auto"/>
              <w:right w:val="single" w:sz="4" w:space="0" w:color="auto"/>
            </w:tcBorders>
            <w:hideMark/>
          </w:tcPr>
          <w:p w:rsidR="00337750" w:rsidRDefault="00337750">
            <w:r>
              <w:t>Deans, HoS, EOU, QGI, Communications Office,</w:t>
            </w:r>
          </w:p>
        </w:tc>
      </w:tr>
    </w:tbl>
    <w:p w:rsidR="00337750" w:rsidRDefault="00337750" w:rsidP="00337750"/>
    <w:sectPr w:rsidR="00337750" w:rsidSect="0033775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7100C"/>
    <w:multiLevelType w:val="hybridMultilevel"/>
    <w:tmpl w:val="8F902EC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defaultTabStop w:val="720"/>
  <w:drawingGridHorizontalSpacing w:val="110"/>
  <w:displayHorizontalDrawingGridEvery w:val="2"/>
  <w:characterSpacingControl w:val="doNotCompress"/>
  <w:compat/>
  <w:rsids>
    <w:rsidRoot w:val="00337750"/>
    <w:rsid w:val="000E29F0"/>
    <w:rsid w:val="001164F6"/>
    <w:rsid w:val="00337750"/>
    <w:rsid w:val="00742524"/>
    <w:rsid w:val="009607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750"/>
    <w:pPr>
      <w:spacing w:before="120"/>
    </w:pPr>
    <w:rPr>
      <w:rFonts w:ascii="Arial" w:hAnsi="Arial"/>
    </w:rPr>
  </w:style>
  <w:style w:type="paragraph" w:styleId="Heading2">
    <w:name w:val="heading 2"/>
    <w:basedOn w:val="Normal"/>
    <w:next w:val="Normal"/>
    <w:link w:val="Heading2Char"/>
    <w:uiPriority w:val="9"/>
    <w:semiHidden/>
    <w:unhideWhenUsed/>
    <w:qFormat/>
    <w:rsid w:val="00337750"/>
    <w:pPr>
      <w:keepNext/>
      <w:keepLines/>
      <w:spacing w:before="200" w:after="0"/>
      <w:outlineLvl w:val="1"/>
    </w:pPr>
    <w:rPr>
      <w:rFonts w:eastAsiaTheme="majorEastAsia" w:cstheme="majorBidi"/>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37750"/>
    <w:rPr>
      <w:rFonts w:ascii="Arial" w:eastAsiaTheme="majorEastAsia" w:hAnsi="Arial" w:cstheme="majorBidi"/>
      <w:bCs/>
      <w:sz w:val="26"/>
      <w:szCs w:val="26"/>
    </w:rPr>
  </w:style>
  <w:style w:type="character" w:styleId="Hyperlink">
    <w:name w:val="Hyperlink"/>
    <w:basedOn w:val="DefaultParagraphFont"/>
    <w:uiPriority w:val="99"/>
    <w:semiHidden/>
    <w:unhideWhenUsed/>
    <w:rsid w:val="00337750"/>
    <w:rPr>
      <w:color w:val="0000FF"/>
      <w:u w:val="single"/>
    </w:rPr>
  </w:style>
  <w:style w:type="paragraph" w:styleId="ListParagraph">
    <w:name w:val="List Paragraph"/>
    <w:basedOn w:val="Normal"/>
    <w:uiPriority w:val="34"/>
    <w:qFormat/>
    <w:rsid w:val="00337750"/>
    <w:pPr>
      <w:spacing w:after="0" w:line="240" w:lineRule="auto"/>
      <w:ind w:left="720"/>
      <w:contextualSpacing/>
    </w:pPr>
    <w:rPr>
      <w:rFonts w:eastAsia="Times New Roman" w:cs="Arial"/>
      <w:sz w:val="24"/>
      <w:szCs w:val="24"/>
    </w:rPr>
  </w:style>
</w:styles>
</file>

<file path=word/webSettings.xml><?xml version="1.0" encoding="utf-8"?>
<w:webSettings xmlns:r="http://schemas.openxmlformats.org/officeDocument/2006/relationships" xmlns:w="http://schemas.openxmlformats.org/wordprocessingml/2006/main">
  <w:divs>
    <w:div w:id="94673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qub.ac.uk/sites/STE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7AD6E-BBD9-4C7C-A135-83D6CF3CB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2368</Words>
  <Characters>13499</Characters>
  <Application>Microsoft Office Word</Application>
  <DocSecurity>0</DocSecurity>
  <Lines>112</Lines>
  <Paragraphs>31</Paragraphs>
  <ScaleCrop>false</ScaleCrop>
  <Company>Queen's University</Company>
  <LinksUpToDate>false</LinksUpToDate>
  <CharactersWithSpaces>15836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ADVISORY</dc:creator>
  <cp:keywords/>
  <dc:description/>
  <cp:lastModifiedBy>ADVISORY</cp:lastModifiedBy>
  <cp:revision>2</cp:revision>
  <dcterms:created xsi:type="dcterms:W3CDTF">2012-04-04T14:51:00Z</dcterms:created>
  <dcterms:modified xsi:type="dcterms:W3CDTF">2012-04-04T14:51:00Z</dcterms:modified>
</cp:coreProperties>
</file>